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73DE0" w14:textId="782233AF" w:rsidR="005443F3" w:rsidRPr="00E95566" w:rsidRDefault="00DC01D4" w:rsidP="00DC01D4">
      <w:pPr>
        <w:spacing w:after="0" w:line="240" w:lineRule="auto"/>
        <w:jc w:val="right"/>
        <w:rPr>
          <w:rFonts w:ascii="Times New Roman" w:hAnsi="Times New Roman" w:cs="Times New Roman"/>
          <w:b/>
          <w:color w:val="222A35" w:themeColor="text2" w:themeShade="80"/>
        </w:rPr>
      </w:pPr>
      <w:r w:rsidRPr="00E95566">
        <w:rPr>
          <w:rFonts w:ascii="Times New Roman" w:hAnsi="Times New Roman" w:cs="Times New Roman"/>
          <w:color w:val="222A35" w:themeColor="text2" w:themeShade="80"/>
        </w:rPr>
        <w:tab/>
      </w:r>
      <w:r w:rsidRPr="00E95566">
        <w:rPr>
          <w:rFonts w:ascii="Times New Roman" w:hAnsi="Times New Roman" w:cs="Times New Roman"/>
          <w:color w:val="222A35" w:themeColor="text2" w:themeShade="80"/>
        </w:rPr>
        <w:tab/>
      </w:r>
      <w:r w:rsidRPr="00E95566">
        <w:rPr>
          <w:rFonts w:ascii="Times New Roman" w:hAnsi="Times New Roman" w:cs="Times New Roman"/>
          <w:color w:val="222A35" w:themeColor="text2" w:themeShade="80"/>
        </w:rPr>
        <w:tab/>
      </w:r>
      <w:r w:rsidRPr="00E95566">
        <w:rPr>
          <w:rFonts w:ascii="Times New Roman" w:hAnsi="Times New Roman" w:cs="Times New Roman"/>
          <w:color w:val="222A35" w:themeColor="text2" w:themeShade="80"/>
        </w:rPr>
        <w:tab/>
      </w:r>
      <w:r w:rsidRPr="00E95566">
        <w:rPr>
          <w:rFonts w:ascii="Times New Roman" w:hAnsi="Times New Roman" w:cs="Times New Roman"/>
          <w:color w:val="222A35" w:themeColor="text2" w:themeShade="80"/>
        </w:rPr>
        <w:tab/>
      </w:r>
      <w:r w:rsidR="005443F3" w:rsidRPr="00E95566">
        <w:rPr>
          <w:rFonts w:ascii="Times New Roman" w:hAnsi="Times New Roman" w:cs="Times New Roman"/>
          <w:color w:val="222A35" w:themeColor="text2" w:themeShade="80"/>
        </w:rPr>
        <w:tab/>
      </w:r>
      <w:r w:rsidR="005443F3" w:rsidRPr="00E95566">
        <w:rPr>
          <w:rFonts w:ascii="Times New Roman" w:hAnsi="Times New Roman" w:cs="Times New Roman"/>
          <w:color w:val="222A35" w:themeColor="text2" w:themeShade="80"/>
        </w:rPr>
        <w:tab/>
      </w:r>
      <w:r w:rsidR="005443F3" w:rsidRPr="00E95566">
        <w:rPr>
          <w:rFonts w:ascii="Times New Roman" w:hAnsi="Times New Roman" w:cs="Times New Roman"/>
          <w:color w:val="222A35" w:themeColor="text2" w:themeShade="80"/>
        </w:rPr>
        <w:tab/>
      </w:r>
      <w:r w:rsidR="005443F3" w:rsidRPr="00E95566">
        <w:rPr>
          <w:rFonts w:ascii="Times New Roman" w:hAnsi="Times New Roman" w:cs="Times New Roman"/>
          <w:color w:val="222A35" w:themeColor="text2" w:themeShade="80"/>
        </w:rPr>
        <w:tab/>
        <w:t xml:space="preserve">          </w:t>
      </w:r>
      <w:r w:rsidR="005443F3" w:rsidRPr="00E95566">
        <w:rPr>
          <w:rFonts w:ascii="Times New Roman" w:hAnsi="Times New Roman" w:cs="Times New Roman"/>
          <w:b/>
          <w:color w:val="222A35" w:themeColor="text2" w:themeShade="80"/>
        </w:rPr>
        <w:t>Anexa C</w:t>
      </w:r>
    </w:p>
    <w:p w14:paraId="480D9051" w14:textId="77777777" w:rsidR="005443F3" w:rsidRPr="00E95566" w:rsidRDefault="005443F3" w:rsidP="005443F3">
      <w:pPr>
        <w:spacing w:after="0" w:line="240" w:lineRule="auto"/>
        <w:jc w:val="both"/>
        <w:rPr>
          <w:rFonts w:ascii="Times New Roman" w:hAnsi="Times New Roman" w:cs="Times New Roman"/>
          <w:color w:val="222A35" w:themeColor="text2" w:themeShade="80"/>
        </w:rPr>
      </w:pPr>
    </w:p>
    <w:p w14:paraId="4B665A60" w14:textId="77777777" w:rsidR="005443F3" w:rsidRPr="00E95566" w:rsidRDefault="005443F3" w:rsidP="005443F3">
      <w:pPr>
        <w:spacing w:after="0" w:line="240" w:lineRule="auto"/>
        <w:jc w:val="center"/>
        <w:rPr>
          <w:rFonts w:ascii="Times New Roman" w:hAnsi="Times New Roman" w:cs="Times New Roman"/>
          <w:b/>
          <w:i/>
          <w:color w:val="222A35" w:themeColor="text2" w:themeShade="80"/>
        </w:rPr>
      </w:pPr>
      <w:r w:rsidRPr="00E95566">
        <w:rPr>
          <w:rFonts w:ascii="Times New Roman" w:hAnsi="Times New Roman" w:cs="Times New Roman"/>
          <w:b/>
          <w:i/>
          <w:color w:val="222A35" w:themeColor="text2" w:themeShade="80"/>
        </w:rPr>
        <w:t>Lista orientativă privind incadrarea cheltuielilor eligibile aferente proiectului in categoriile/subcategoriile de cheltuieli conform MySmis2014:</w:t>
      </w:r>
    </w:p>
    <w:p w14:paraId="30A604BF" w14:textId="77777777" w:rsidR="005443F3" w:rsidRPr="00E95566" w:rsidRDefault="005443F3" w:rsidP="005443F3">
      <w:pPr>
        <w:spacing w:after="0" w:line="240" w:lineRule="auto"/>
        <w:jc w:val="both"/>
        <w:rPr>
          <w:rFonts w:ascii="Times New Roman" w:hAnsi="Times New Roman" w:cs="Times New Roman"/>
          <w:color w:val="222A35" w:themeColor="text2" w:themeShade="80"/>
        </w:rPr>
      </w:pPr>
    </w:p>
    <w:tbl>
      <w:tblPr>
        <w:tblStyle w:val="TableGrid"/>
        <w:tblW w:w="5004" w:type="pct"/>
        <w:tblLayout w:type="fixed"/>
        <w:tblLook w:val="04A0" w:firstRow="1" w:lastRow="0" w:firstColumn="1" w:lastColumn="0" w:noHBand="0" w:noVBand="1"/>
      </w:tblPr>
      <w:tblGrid>
        <w:gridCol w:w="800"/>
        <w:gridCol w:w="1712"/>
        <w:gridCol w:w="1892"/>
        <w:gridCol w:w="5492"/>
      </w:tblGrid>
      <w:tr w:rsidR="005443F3" w:rsidRPr="00E95566" w14:paraId="0D6198CF" w14:textId="77777777" w:rsidTr="000E197E">
        <w:trPr>
          <w:tblHeader/>
        </w:trPr>
        <w:tc>
          <w:tcPr>
            <w:tcW w:w="404" w:type="pct"/>
            <w:tcBorders>
              <w:bottom w:val="single" w:sz="4" w:space="0" w:color="auto"/>
            </w:tcBorders>
            <w:shd w:val="clear" w:color="auto" w:fill="BDD6EE" w:themeFill="accent1" w:themeFillTint="66"/>
          </w:tcPr>
          <w:p w14:paraId="6C10CE21" w14:textId="77777777" w:rsidR="005443F3" w:rsidRPr="00E95566" w:rsidRDefault="005443F3" w:rsidP="00F613CE">
            <w:pPr>
              <w:jc w:val="both"/>
              <w:rPr>
                <w:rFonts w:ascii="Times New Roman" w:hAnsi="Times New Roman" w:cs="Times New Roman"/>
                <w:b/>
                <w:color w:val="222A35" w:themeColor="text2" w:themeShade="80"/>
              </w:rPr>
            </w:pPr>
          </w:p>
        </w:tc>
        <w:tc>
          <w:tcPr>
            <w:tcW w:w="865" w:type="pct"/>
            <w:shd w:val="clear" w:color="auto" w:fill="BDD6EE" w:themeFill="accent1" w:themeFillTint="66"/>
            <w:vAlign w:val="center"/>
          </w:tcPr>
          <w:p w14:paraId="5BC0B169" w14:textId="77777777" w:rsidR="005443F3" w:rsidRPr="00E95566" w:rsidRDefault="005443F3" w:rsidP="00F613CE">
            <w:pPr>
              <w:jc w:val="both"/>
              <w:rPr>
                <w:rFonts w:ascii="Times New Roman" w:hAnsi="Times New Roman" w:cs="Times New Roman"/>
                <w:b/>
                <w:color w:val="222A35" w:themeColor="text2" w:themeShade="80"/>
              </w:rPr>
            </w:pPr>
            <w:r w:rsidRPr="00E95566">
              <w:rPr>
                <w:rFonts w:ascii="Times New Roman" w:hAnsi="Times New Roman" w:cs="Times New Roman"/>
                <w:b/>
                <w:color w:val="222A35" w:themeColor="text2" w:themeShade="80"/>
              </w:rPr>
              <w:t>Categorie MySMIS</w:t>
            </w:r>
          </w:p>
        </w:tc>
        <w:tc>
          <w:tcPr>
            <w:tcW w:w="956" w:type="pct"/>
            <w:shd w:val="clear" w:color="auto" w:fill="BDD6EE" w:themeFill="accent1" w:themeFillTint="66"/>
            <w:vAlign w:val="center"/>
          </w:tcPr>
          <w:p w14:paraId="0A62F8DE" w14:textId="77777777" w:rsidR="005443F3" w:rsidRPr="00E95566" w:rsidRDefault="005443F3" w:rsidP="00F613CE">
            <w:pPr>
              <w:jc w:val="both"/>
              <w:rPr>
                <w:rFonts w:ascii="Times New Roman" w:hAnsi="Times New Roman" w:cs="Times New Roman"/>
                <w:b/>
                <w:color w:val="222A35" w:themeColor="text2" w:themeShade="80"/>
              </w:rPr>
            </w:pPr>
            <w:r w:rsidRPr="00E95566">
              <w:rPr>
                <w:rFonts w:ascii="Times New Roman" w:hAnsi="Times New Roman" w:cs="Times New Roman"/>
                <w:b/>
                <w:color w:val="222A35" w:themeColor="text2" w:themeShade="80"/>
              </w:rPr>
              <w:t>Subcategorie MySMIS</w:t>
            </w:r>
          </w:p>
        </w:tc>
        <w:tc>
          <w:tcPr>
            <w:tcW w:w="2775" w:type="pct"/>
            <w:shd w:val="clear" w:color="auto" w:fill="BDD6EE" w:themeFill="accent1" w:themeFillTint="66"/>
            <w:vAlign w:val="center"/>
          </w:tcPr>
          <w:p w14:paraId="11F20975" w14:textId="77777777" w:rsidR="005443F3" w:rsidRPr="00E95566" w:rsidRDefault="005443F3" w:rsidP="00F613CE">
            <w:pPr>
              <w:jc w:val="center"/>
              <w:rPr>
                <w:rFonts w:ascii="Times New Roman" w:hAnsi="Times New Roman" w:cs="Times New Roman"/>
                <w:b/>
                <w:color w:val="222A35" w:themeColor="text2" w:themeShade="80"/>
              </w:rPr>
            </w:pPr>
            <w:r w:rsidRPr="00E95566">
              <w:rPr>
                <w:rFonts w:ascii="Times New Roman" w:hAnsi="Times New Roman" w:cs="Times New Roman"/>
                <w:b/>
                <w:color w:val="222A35" w:themeColor="text2" w:themeShade="80"/>
              </w:rPr>
              <w:t>Subcategoria (descrierea cheltuielii) conține:</w:t>
            </w:r>
          </w:p>
        </w:tc>
      </w:tr>
      <w:tr w:rsidR="005443F3" w:rsidRPr="00E95566" w14:paraId="7158AA2D" w14:textId="77777777" w:rsidTr="000E197E">
        <w:tc>
          <w:tcPr>
            <w:tcW w:w="5000" w:type="pct"/>
            <w:gridSpan w:val="4"/>
            <w:tcBorders>
              <w:bottom w:val="single" w:sz="4" w:space="0" w:color="auto"/>
            </w:tcBorders>
            <w:shd w:val="clear" w:color="auto" w:fill="BDD6EE" w:themeFill="accent1" w:themeFillTint="66"/>
          </w:tcPr>
          <w:p w14:paraId="743005BA" w14:textId="77777777" w:rsidR="005443F3" w:rsidRPr="00E95566" w:rsidRDefault="005443F3" w:rsidP="00F613CE">
            <w:pPr>
              <w:jc w:val="both"/>
              <w:rPr>
                <w:rFonts w:ascii="Times New Roman" w:hAnsi="Times New Roman" w:cs="Times New Roman"/>
                <w:b/>
                <w:color w:val="222A35" w:themeColor="text2" w:themeShade="80"/>
              </w:rPr>
            </w:pPr>
          </w:p>
        </w:tc>
      </w:tr>
      <w:tr w:rsidR="005443F3" w:rsidRPr="00E95566" w14:paraId="296AB2CD" w14:textId="77777777" w:rsidTr="000E197E">
        <w:tc>
          <w:tcPr>
            <w:tcW w:w="404" w:type="pct"/>
            <w:vMerge w:val="restart"/>
            <w:shd w:val="clear" w:color="auto" w:fill="E7E6E6" w:themeFill="background2"/>
          </w:tcPr>
          <w:p w14:paraId="7185790E" w14:textId="5C7E0DDB" w:rsidR="005443F3" w:rsidRPr="00E95566" w:rsidRDefault="005443F3" w:rsidP="00F613CE">
            <w:pPr>
              <w:jc w:val="both"/>
              <w:rPr>
                <w:rFonts w:ascii="Times New Roman" w:hAnsi="Times New Roman" w:cs="Times New Roman"/>
                <w:b/>
                <w:color w:val="222A35" w:themeColor="text2" w:themeShade="80"/>
                <w:sz w:val="20"/>
                <w:szCs w:val="20"/>
              </w:rPr>
            </w:pPr>
            <w:r w:rsidRPr="00E95566">
              <w:rPr>
                <w:rFonts w:ascii="Times New Roman" w:hAnsi="Times New Roman" w:cs="Times New Roman"/>
                <w:b/>
                <w:color w:val="222A35" w:themeColor="text2" w:themeShade="80"/>
                <w:sz w:val="20"/>
                <w:szCs w:val="20"/>
              </w:rPr>
              <w:t>Cheltuielile eligibile</w:t>
            </w:r>
          </w:p>
          <w:p w14:paraId="2881FFE7" w14:textId="77777777" w:rsidR="005443F3" w:rsidRPr="00E95566" w:rsidRDefault="005443F3" w:rsidP="00F613CE">
            <w:pPr>
              <w:jc w:val="both"/>
              <w:rPr>
                <w:rFonts w:ascii="Times New Roman" w:hAnsi="Times New Roman" w:cs="Times New Roman"/>
                <w:color w:val="222A35" w:themeColor="text2" w:themeShade="80"/>
                <w:sz w:val="20"/>
                <w:szCs w:val="20"/>
              </w:rPr>
            </w:pPr>
          </w:p>
        </w:tc>
        <w:tc>
          <w:tcPr>
            <w:tcW w:w="865" w:type="pct"/>
            <w:vAlign w:val="center"/>
          </w:tcPr>
          <w:p w14:paraId="1E431776"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12 - cheltuieli pentru obținerea și amenajarea terenului</w:t>
            </w:r>
          </w:p>
        </w:tc>
        <w:tc>
          <w:tcPr>
            <w:tcW w:w="956" w:type="pct"/>
            <w:vAlign w:val="center"/>
          </w:tcPr>
          <w:p w14:paraId="0EE7DBD8"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34 - cheltuieli pentru achiziția terenului, cu sau fără construcții</w:t>
            </w:r>
          </w:p>
        </w:tc>
        <w:tc>
          <w:tcPr>
            <w:tcW w:w="2775" w:type="pct"/>
            <w:vAlign w:val="center"/>
          </w:tcPr>
          <w:p w14:paraId="6FE99601" w14:textId="77777777" w:rsidR="005443F3" w:rsidRPr="00E95566" w:rsidRDefault="005443F3" w:rsidP="002E0454">
            <w:pPr>
              <w:numPr>
                <w:ilvl w:val="0"/>
                <w:numId w:val="157"/>
              </w:numPr>
              <w:jc w:val="both"/>
              <w:rPr>
                <w:rFonts w:ascii="Times New Roman" w:hAnsi="Times New Roman" w:cs="Times New Roman"/>
                <w:color w:val="222A35" w:themeColor="text2" w:themeShade="80"/>
                <w:sz w:val="21"/>
                <w:szCs w:val="21"/>
              </w:rPr>
            </w:pPr>
            <w:r w:rsidRPr="00E95566">
              <w:rPr>
                <w:rFonts w:ascii="Times New Roman" w:hAnsi="Times New Roman" w:cs="Times New Roman"/>
                <w:b/>
                <w:bCs/>
                <w:color w:val="333333"/>
                <w:sz w:val="21"/>
                <w:szCs w:val="21"/>
              </w:rPr>
              <w:t>Cheltuieli pentru obţinerea şi amenajarea terenului</w:t>
            </w:r>
          </w:p>
          <w:p w14:paraId="1A7C30D9" w14:textId="6C3637A1" w:rsidR="005443F3" w:rsidRPr="00E95566" w:rsidRDefault="005443F3" w:rsidP="00F37D57">
            <w:pPr>
              <w:jc w:val="both"/>
              <w:rPr>
                <w:rFonts w:ascii="Times New Roman" w:hAnsi="Times New Roman" w:cs="Times New Roman"/>
                <w:sz w:val="21"/>
                <w:szCs w:val="21"/>
              </w:rPr>
            </w:pPr>
            <w:r w:rsidRPr="00E95566">
              <w:rPr>
                <w:rFonts w:ascii="Times New Roman" w:hAnsi="Times New Roman" w:cs="Times New Roman"/>
                <w:color w:val="333333"/>
                <w:sz w:val="21"/>
                <w:szCs w:val="21"/>
              </w:rPr>
              <w:t xml:space="preserve">Obţinerea terenului* - </w:t>
            </w:r>
            <w:r w:rsidRPr="00E95566">
              <w:rPr>
                <w:rFonts w:ascii="Times New Roman" w:hAnsi="Times New Roman" w:cs="Times New Roman"/>
                <w:sz w:val="21"/>
                <w:szCs w:val="21"/>
              </w:rPr>
              <w:t>Cuprinde cheltuielile efectuate pentru:</w:t>
            </w:r>
            <w:r w:rsidRPr="00E95566">
              <w:rPr>
                <w:rStyle w:val="apple-converted-space"/>
                <w:rFonts w:ascii="Times New Roman" w:hAnsi="Times New Roman" w:cs="Times New Roman"/>
                <w:sz w:val="21"/>
                <w:szCs w:val="21"/>
              </w:rPr>
              <w:t xml:space="preserve"> </w:t>
            </w:r>
            <w:r w:rsidRPr="00E95566">
              <w:rPr>
                <w:rFonts w:ascii="Times New Roman" w:hAnsi="Times New Roman" w:cs="Times New Roman"/>
                <w:sz w:val="21"/>
                <w:szCs w:val="21"/>
              </w:rPr>
              <w:t>cumpărarea de terenuri</w:t>
            </w:r>
          </w:p>
        </w:tc>
      </w:tr>
      <w:tr w:rsidR="005443F3" w:rsidRPr="00E95566" w14:paraId="27CC34B6" w14:textId="77777777" w:rsidTr="000E197E">
        <w:tc>
          <w:tcPr>
            <w:tcW w:w="404" w:type="pct"/>
            <w:vMerge/>
            <w:shd w:val="clear" w:color="auto" w:fill="E7E6E6" w:themeFill="background2"/>
          </w:tcPr>
          <w:p w14:paraId="7D5A1E43" w14:textId="77777777" w:rsidR="005443F3" w:rsidRPr="00E95566" w:rsidRDefault="005443F3" w:rsidP="00F613CE">
            <w:pPr>
              <w:jc w:val="both"/>
              <w:rPr>
                <w:rFonts w:ascii="Times New Roman" w:hAnsi="Times New Roman" w:cs="Times New Roman"/>
                <w:b/>
                <w:color w:val="222A35" w:themeColor="text2" w:themeShade="80"/>
                <w:sz w:val="21"/>
                <w:szCs w:val="21"/>
              </w:rPr>
            </w:pPr>
          </w:p>
        </w:tc>
        <w:tc>
          <w:tcPr>
            <w:tcW w:w="865" w:type="pct"/>
            <w:vAlign w:val="center"/>
          </w:tcPr>
          <w:p w14:paraId="0547EE99"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12 - cheltuieli pentru obținerea și amenajarea terenului</w:t>
            </w:r>
          </w:p>
        </w:tc>
        <w:tc>
          <w:tcPr>
            <w:tcW w:w="956" w:type="pct"/>
            <w:vAlign w:val="center"/>
          </w:tcPr>
          <w:p w14:paraId="3399199B"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38 - cheltuieli pentru amenajarea terenului</w:t>
            </w:r>
          </w:p>
        </w:tc>
        <w:tc>
          <w:tcPr>
            <w:tcW w:w="2775" w:type="pct"/>
          </w:tcPr>
          <w:p w14:paraId="4E493B89" w14:textId="63946B9F" w:rsidR="00F37D57" w:rsidRPr="00E95566" w:rsidRDefault="005443F3" w:rsidP="00F37D57">
            <w:pPr>
              <w:numPr>
                <w:ilvl w:val="0"/>
                <w:numId w:val="157"/>
              </w:numPr>
              <w:jc w:val="both"/>
              <w:rPr>
                <w:rFonts w:ascii="Times New Roman" w:hAnsi="Times New Roman" w:cs="Times New Roman"/>
                <w:color w:val="222A35" w:themeColor="text2" w:themeShade="80"/>
                <w:sz w:val="21"/>
                <w:szCs w:val="21"/>
              </w:rPr>
            </w:pPr>
            <w:r w:rsidRPr="00E95566">
              <w:rPr>
                <w:rFonts w:ascii="Times New Roman" w:hAnsi="Times New Roman" w:cs="Times New Roman"/>
                <w:b/>
                <w:bCs/>
                <w:color w:val="333333"/>
                <w:sz w:val="21"/>
                <w:szCs w:val="21"/>
              </w:rPr>
              <w:t>Cheltuieli pentru obţinerea şi amenajarea terenului</w:t>
            </w:r>
          </w:p>
          <w:p w14:paraId="393F735C" w14:textId="77777777" w:rsidR="00F37D57" w:rsidRPr="00E95566" w:rsidRDefault="00F37D57" w:rsidP="00F613CE">
            <w:pPr>
              <w:jc w:val="both"/>
              <w:rPr>
                <w:rFonts w:ascii="Times New Roman" w:hAnsi="Times New Roman" w:cs="Times New Roman"/>
                <w:color w:val="333333"/>
                <w:sz w:val="21"/>
                <w:szCs w:val="21"/>
              </w:rPr>
            </w:pPr>
          </w:p>
          <w:p w14:paraId="0398CAF0" w14:textId="1C3F08C0" w:rsidR="005443F3" w:rsidRPr="00E95566" w:rsidRDefault="005443F3" w:rsidP="00F613CE">
            <w:pPr>
              <w:jc w:val="both"/>
              <w:rPr>
                <w:rFonts w:ascii="Times New Roman" w:hAnsi="Times New Roman" w:cs="Times New Roman"/>
                <w:color w:val="333333"/>
                <w:sz w:val="21"/>
                <w:szCs w:val="21"/>
              </w:rPr>
            </w:pPr>
            <w:r w:rsidRPr="00E95566">
              <w:rPr>
                <w:rFonts w:ascii="Times New Roman" w:hAnsi="Times New Roman" w:cs="Times New Roman"/>
                <w:color w:val="333333"/>
                <w:sz w:val="21"/>
                <w:szCs w:val="21"/>
              </w:rPr>
              <w:t>Amenajarea terenului</w:t>
            </w:r>
          </w:p>
          <w:p w14:paraId="44C6A8BC" w14:textId="77777777" w:rsidR="00F37D57" w:rsidRPr="00E95566" w:rsidRDefault="00F37D57" w:rsidP="00F613CE">
            <w:pPr>
              <w:jc w:val="both"/>
              <w:rPr>
                <w:rFonts w:ascii="Times New Roman" w:hAnsi="Times New Roman" w:cs="Times New Roman"/>
                <w:color w:val="222A35" w:themeColor="text2" w:themeShade="80"/>
                <w:sz w:val="21"/>
                <w:szCs w:val="21"/>
              </w:rPr>
            </w:pPr>
          </w:p>
          <w:p w14:paraId="0B53C57E" w14:textId="7701025D" w:rsidR="005443F3" w:rsidRPr="00E95566" w:rsidRDefault="005443F3" w:rsidP="00F37D57">
            <w:pPr>
              <w:jc w:val="both"/>
              <w:rPr>
                <w:rFonts w:ascii="Times New Roman" w:hAnsi="Times New Roman" w:cs="Times New Roman"/>
                <w:sz w:val="21"/>
                <w:szCs w:val="21"/>
              </w:rPr>
            </w:pPr>
            <w:r w:rsidRPr="00E95566">
              <w:rPr>
                <w:rFonts w:ascii="Times New Roman" w:hAnsi="Times New Roman" w:cs="Times New Roman"/>
                <w:sz w:val="21"/>
                <w:szCs w:val="21"/>
              </w:rPr>
              <w:t>Cuprinde cheltuielile efectuate pentru pregătirea amplasamentului şi care constau în:</w:t>
            </w:r>
            <w:r w:rsidRPr="00E95566">
              <w:rPr>
                <w:rStyle w:val="apple-converted-space"/>
                <w:rFonts w:ascii="Times New Roman" w:hAnsi="Times New Roman" w:cs="Times New Roman"/>
                <w:sz w:val="21"/>
                <w:szCs w:val="21"/>
              </w:rPr>
              <w:t xml:space="preserve"> </w:t>
            </w:r>
            <w:r w:rsidRPr="00E95566">
              <w:rPr>
                <w:rFonts w:ascii="Times New Roman" w:hAnsi="Times New Roman" w:cs="Times New Roman"/>
                <w:sz w:val="21"/>
                <w:szCs w:val="21"/>
              </w:rPr>
              <w:t>demolări; demontări; dezafectări; defrişări;</w:t>
            </w:r>
            <w:r w:rsidRPr="00E95566">
              <w:rPr>
                <w:rFonts w:ascii="Times New Roman" w:hAnsi="Times New Roman" w:cs="Times New Roman"/>
                <w:b/>
                <w:bCs/>
                <w:sz w:val="21"/>
                <w:szCs w:val="21"/>
              </w:rPr>
              <w:t xml:space="preserve"> </w:t>
            </w:r>
            <w:r w:rsidRPr="00E95566">
              <w:rPr>
                <w:rFonts w:ascii="Times New Roman" w:hAnsi="Times New Roman" w:cs="Times New Roman"/>
                <w:sz w:val="21"/>
                <w:szCs w:val="21"/>
              </w:rPr>
              <w:t>colectare, sortare şi transport la depozitele autorizate al deşeurilor rezultate; sistematizări pe verticală;</w:t>
            </w:r>
            <w:r w:rsidRPr="00E95566">
              <w:rPr>
                <w:rStyle w:val="apple-converted-space"/>
                <w:rFonts w:ascii="Times New Roman" w:hAnsi="Times New Roman" w:cs="Times New Roman"/>
                <w:sz w:val="21"/>
                <w:szCs w:val="21"/>
              </w:rPr>
              <w:t xml:space="preserve"> </w:t>
            </w:r>
            <w:r w:rsidRPr="00E95566">
              <w:rPr>
                <w:rFonts w:ascii="Times New Roman" w:hAnsi="Times New Roman" w:cs="Times New Roman"/>
                <w:sz w:val="21"/>
                <w:szCs w:val="21"/>
              </w:rPr>
              <w:t>accesuri/drumuri/alei/parcări/drenuri/rigole/canale de scurgere, ziduri de sprijin; drenaje; epuizmente (exclusiv cele aferente realizării lucrărilor pentru investiţia de bază); lucrări pentru pregătirea amplasamentului.</w:t>
            </w:r>
          </w:p>
        </w:tc>
      </w:tr>
      <w:tr w:rsidR="005443F3" w:rsidRPr="00E95566" w14:paraId="2003D166" w14:textId="77777777" w:rsidTr="000E197E">
        <w:tc>
          <w:tcPr>
            <w:tcW w:w="404" w:type="pct"/>
            <w:vMerge/>
            <w:shd w:val="clear" w:color="auto" w:fill="E7E6E6" w:themeFill="background2"/>
          </w:tcPr>
          <w:p w14:paraId="600EFDF6"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3A31AA06"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12 - cheltuieli pentru obținerea și amenajarea terenului</w:t>
            </w:r>
          </w:p>
        </w:tc>
        <w:tc>
          <w:tcPr>
            <w:tcW w:w="956" w:type="pct"/>
            <w:vAlign w:val="center"/>
          </w:tcPr>
          <w:p w14:paraId="1E5471FD"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39 - cheltuieli cu amenajări pentru protecţia mediului şi aducerea la starea iniţială</w:t>
            </w:r>
          </w:p>
        </w:tc>
        <w:tc>
          <w:tcPr>
            <w:tcW w:w="2775" w:type="pct"/>
          </w:tcPr>
          <w:p w14:paraId="28A5A72A" w14:textId="77777777" w:rsidR="005443F3" w:rsidRPr="00E95566" w:rsidRDefault="005443F3" w:rsidP="002E0454">
            <w:pPr>
              <w:numPr>
                <w:ilvl w:val="0"/>
                <w:numId w:val="157"/>
              </w:numPr>
              <w:jc w:val="both"/>
              <w:rPr>
                <w:rFonts w:ascii="Times New Roman" w:hAnsi="Times New Roman" w:cs="Times New Roman"/>
                <w:color w:val="222A35" w:themeColor="text2" w:themeShade="80"/>
                <w:sz w:val="21"/>
                <w:szCs w:val="21"/>
              </w:rPr>
            </w:pPr>
            <w:r w:rsidRPr="00E95566">
              <w:rPr>
                <w:rFonts w:ascii="Times New Roman" w:hAnsi="Times New Roman" w:cs="Times New Roman"/>
                <w:b/>
                <w:bCs/>
                <w:color w:val="333333"/>
                <w:sz w:val="21"/>
                <w:szCs w:val="21"/>
              </w:rPr>
              <w:t>Cheltuieli pentru obţinerea şi amenajarea terenului</w:t>
            </w:r>
          </w:p>
          <w:p w14:paraId="13B6912E" w14:textId="77777777" w:rsidR="00F37D57" w:rsidRPr="00E95566" w:rsidRDefault="00F37D57" w:rsidP="00F613CE">
            <w:pPr>
              <w:jc w:val="both"/>
              <w:rPr>
                <w:rFonts w:ascii="Times New Roman" w:hAnsi="Times New Roman" w:cs="Times New Roman"/>
                <w:color w:val="333333"/>
                <w:sz w:val="21"/>
                <w:szCs w:val="21"/>
              </w:rPr>
            </w:pPr>
          </w:p>
          <w:p w14:paraId="760ACF32" w14:textId="14441A6D"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Amenajări pentru protecţia mediului şi aducerea terenului la starea iniţială</w:t>
            </w:r>
          </w:p>
          <w:p w14:paraId="144E6EF8" w14:textId="7CC492C2" w:rsidR="005443F3" w:rsidRPr="00E95566" w:rsidRDefault="005443F3" w:rsidP="00F37D57">
            <w:pPr>
              <w:jc w:val="both"/>
              <w:rPr>
                <w:rFonts w:ascii="Times New Roman" w:hAnsi="Times New Roman" w:cs="Times New Roman"/>
                <w:sz w:val="21"/>
                <w:szCs w:val="21"/>
              </w:rPr>
            </w:pPr>
            <w:r w:rsidRPr="00E95566">
              <w:rPr>
                <w:rFonts w:ascii="Times New Roman" w:hAnsi="Times New Roman" w:cs="Times New Roman"/>
                <w:sz w:val="21"/>
                <w:szCs w:val="21"/>
              </w:rPr>
              <w:t>Cuprinde cheltuielile efectuate pentru lucrări şi acţiuni de protecţia mediului, inclusiv pentru refacerea cadrului natural după terminarea lucrărilor, de exemplu: plantare de copaci; reamenajare spaţii verzi; lucrări/acţiuni pentru protecţia mediului.</w:t>
            </w:r>
          </w:p>
        </w:tc>
      </w:tr>
      <w:tr w:rsidR="005443F3" w:rsidRPr="00E95566" w14:paraId="3D0C0552" w14:textId="77777777" w:rsidTr="000E197E">
        <w:tc>
          <w:tcPr>
            <w:tcW w:w="404" w:type="pct"/>
            <w:vMerge/>
            <w:shd w:val="clear" w:color="auto" w:fill="E7E6E6" w:themeFill="background2"/>
          </w:tcPr>
          <w:p w14:paraId="4D84FD76"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01FC75AE"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13 - cheltuieli pentru asigurarea utilităţilor necesare obiectivului</w:t>
            </w:r>
          </w:p>
        </w:tc>
        <w:tc>
          <w:tcPr>
            <w:tcW w:w="956" w:type="pct"/>
            <w:vAlign w:val="center"/>
          </w:tcPr>
          <w:p w14:paraId="4D3B5792"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color w:val="333333"/>
                <w:sz w:val="21"/>
                <w:szCs w:val="21"/>
              </w:rPr>
              <w:t>40 - cheltuieli pentru asigurarea utilităţilor necesare obiectivului</w:t>
            </w:r>
          </w:p>
        </w:tc>
        <w:tc>
          <w:tcPr>
            <w:tcW w:w="2775" w:type="pct"/>
          </w:tcPr>
          <w:p w14:paraId="00BCF803" w14:textId="385508B2" w:rsidR="00F37D57" w:rsidRPr="00E95566" w:rsidRDefault="005443F3" w:rsidP="00F37D57">
            <w:pPr>
              <w:numPr>
                <w:ilvl w:val="0"/>
                <w:numId w:val="157"/>
              </w:numPr>
              <w:jc w:val="both"/>
              <w:rPr>
                <w:rFonts w:ascii="Times New Roman" w:hAnsi="Times New Roman" w:cs="Times New Roman"/>
                <w:color w:val="222A35" w:themeColor="text2" w:themeShade="80"/>
                <w:sz w:val="21"/>
                <w:szCs w:val="21"/>
              </w:rPr>
            </w:pPr>
            <w:r w:rsidRPr="00E95566">
              <w:rPr>
                <w:rFonts w:ascii="Times New Roman" w:hAnsi="Times New Roman" w:cs="Times New Roman"/>
                <w:b/>
                <w:bCs/>
                <w:color w:val="333333"/>
                <w:sz w:val="21"/>
                <w:szCs w:val="21"/>
              </w:rPr>
              <w:t>Asigurarea utilităților necesare obiectivului</w:t>
            </w:r>
            <w:r w:rsidRPr="00E95566">
              <w:rPr>
                <w:rFonts w:ascii="Times New Roman" w:hAnsi="Times New Roman" w:cs="Times New Roman"/>
                <w:color w:val="333333"/>
                <w:sz w:val="21"/>
                <w:szCs w:val="21"/>
              </w:rPr>
              <w:t> de investiții</w:t>
            </w:r>
          </w:p>
          <w:p w14:paraId="7BEC8DE2"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sz w:val="21"/>
                <w:szCs w:val="21"/>
              </w:rPr>
              <w:t>Se includ cheltuielile aferente asigurării cu utilităţile necesare funcţionării obiectivului de investiţie, precum: alimentare cu apă, canalizare, alimentare cu gaze naturale, agent termic, energie electrică, telecomunicaţii, drumuri de acces, alte utilități</w:t>
            </w:r>
          </w:p>
        </w:tc>
      </w:tr>
      <w:tr w:rsidR="005443F3" w:rsidRPr="00E95566" w14:paraId="09D7F239" w14:textId="77777777" w:rsidTr="000E197E">
        <w:tc>
          <w:tcPr>
            <w:tcW w:w="404" w:type="pct"/>
            <w:vMerge/>
            <w:shd w:val="clear" w:color="auto" w:fill="E7E6E6" w:themeFill="background2"/>
          </w:tcPr>
          <w:p w14:paraId="1134FC20"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38B9093A" w14:textId="77777777" w:rsidR="005443F3" w:rsidRPr="00E95566" w:rsidRDefault="005443F3" w:rsidP="00F613CE">
            <w:pPr>
              <w:spacing w:before="100" w:beforeAutospacing="1" w:after="100" w:afterAutospacing="1"/>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2DA3D95A"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42 - studii cf HG 907/studii de teren cf HG 28</w:t>
            </w:r>
          </w:p>
        </w:tc>
        <w:tc>
          <w:tcPr>
            <w:tcW w:w="2775" w:type="pct"/>
          </w:tcPr>
          <w:p w14:paraId="01D61F07" w14:textId="77777777" w:rsidR="005443F3" w:rsidRPr="00E95566" w:rsidRDefault="005443F3" w:rsidP="002E0454">
            <w:pPr>
              <w:numPr>
                <w:ilvl w:val="0"/>
                <w:numId w:val="157"/>
              </w:numPr>
              <w:jc w:val="both"/>
              <w:rPr>
                <w:rFonts w:ascii="Times New Roman" w:hAnsi="Times New Roman" w:cs="Times New Roman"/>
                <w:b/>
                <w:bCs/>
                <w:color w:val="333333"/>
                <w:sz w:val="21"/>
                <w:szCs w:val="21"/>
              </w:rPr>
            </w:pPr>
            <w:r w:rsidRPr="00E95566">
              <w:rPr>
                <w:rFonts w:ascii="Times New Roman" w:hAnsi="Times New Roman" w:cs="Times New Roman"/>
                <w:b/>
                <w:bCs/>
                <w:color w:val="333333"/>
                <w:sz w:val="21"/>
                <w:szCs w:val="21"/>
              </w:rPr>
              <w:t>Studii</w:t>
            </w:r>
          </w:p>
          <w:p w14:paraId="1D68CCB4" w14:textId="2EC04495" w:rsidR="005443F3" w:rsidRPr="00E95566" w:rsidRDefault="005443F3" w:rsidP="00F613CE">
            <w:pPr>
              <w:jc w:val="both"/>
              <w:rPr>
                <w:rFonts w:ascii="Times New Roman" w:hAnsi="Times New Roman" w:cs="Times New Roman"/>
                <w:sz w:val="21"/>
                <w:szCs w:val="21"/>
              </w:rPr>
            </w:pPr>
            <w:r w:rsidRPr="00E95566">
              <w:rPr>
                <w:rFonts w:ascii="Times New Roman" w:hAnsi="Times New Roman" w:cs="Times New Roman"/>
                <w:sz w:val="21"/>
                <w:szCs w:val="21"/>
              </w:rPr>
              <w:t xml:space="preserve">Studii de teren - </w:t>
            </w:r>
            <w:r w:rsidR="00034C82" w:rsidRPr="00E95566">
              <w:rPr>
                <w:rFonts w:ascii="Times New Roman" w:hAnsi="Times New Roman" w:cs="Times New Roman"/>
                <w:sz w:val="21"/>
                <w:szCs w:val="21"/>
              </w:rPr>
              <w:t xml:space="preserve">  </w:t>
            </w:r>
            <w:r w:rsidRPr="00E95566">
              <w:rPr>
                <w:rFonts w:ascii="Times New Roman" w:hAnsi="Times New Roman" w:cs="Times New Roman"/>
                <w:sz w:val="21"/>
                <w:szCs w:val="21"/>
              </w:rPr>
              <w:t xml:space="preserve">Se cuprind cheltuielile pentru studii geotehnice, geologice, hidrologice, </w:t>
            </w:r>
            <w:r w:rsidR="00034C82" w:rsidRPr="00E95566">
              <w:rPr>
                <w:rFonts w:ascii="Times New Roman" w:hAnsi="Times New Roman" w:cs="Times New Roman"/>
                <w:sz w:val="21"/>
                <w:szCs w:val="21"/>
              </w:rPr>
              <w:t xml:space="preserve"> </w:t>
            </w:r>
            <w:r w:rsidRPr="00E95566">
              <w:rPr>
                <w:rFonts w:ascii="Times New Roman" w:hAnsi="Times New Roman" w:cs="Times New Roman"/>
                <w:sz w:val="21"/>
                <w:szCs w:val="21"/>
              </w:rPr>
              <w:t xml:space="preserve">hidrogeotehnice, fotogrammetrice, </w:t>
            </w:r>
            <w:r w:rsidR="00034C82" w:rsidRPr="00E95566">
              <w:rPr>
                <w:rFonts w:ascii="Times New Roman" w:hAnsi="Times New Roman" w:cs="Times New Roman"/>
                <w:sz w:val="21"/>
                <w:szCs w:val="21"/>
              </w:rPr>
              <w:t xml:space="preserve"> </w:t>
            </w:r>
            <w:r w:rsidRPr="00E95566">
              <w:rPr>
                <w:rFonts w:ascii="Times New Roman" w:hAnsi="Times New Roman" w:cs="Times New Roman"/>
                <w:sz w:val="21"/>
                <w:szCs w:val="21"/>
              </w:rPr>
              <w:t xml:space="preserve">topografice şi </w:t>
            </w:r>
            <w:r w:rsidR="00034C82" w:rsidRPr="00E95566">
              <w:rPr>
                <w:rFonts w:ascii="Times New Roman" w:hAnsi="Times New Roman" w:cs="Times New Roman"/>
                <w:sz w:val="21"/>
                <w:szCs w:val="21"/>
              </w:rPr>
              <w:t xml:space="preserve"> </w:t>
            </w:r>
            <w:r w:rsidRPr="00E95566">
              <w:rPr>
                <w:rFonts w:ascii="Times New Roman" w:hAnsi="Times New Roman" w:cs="Times New Roman"/>
                <w:sz w:val="21"/>
                <w:szCs w:val="21"/>
              </w:rPr>
              <w:t xml:space="preserve">de </w:t>
            </w:r>
            <w:r w:rsidR="00034C82" w:rsidRPr="00E95566">
              <w:rPr>
                <w:rFonts w:ascii="Times New Roman" w:hAnsi="Times New Roman" w:cs="Times New Roman"/>
                <w:sz w:val="21"/>
                <w:szCs w:val="21"/>
              </w:rPr>
              <w:t xml:space="preserve"> </w:t>
            </w:r>
            <w:r w:rsidRPr="00E95566">
              <w:rPr>
                <w:rFonts w:ascii="Times New Roman" w:hAnsi="Times New Roman" w:cs="Times New Roman"/>
                <w:sz w:val="21"/>
                <w:szCs w:val="21"/>
              </w:rPr>
              <w:t>stabilitate ale terenului pe care se amplasează obiectivul de investiţie</w:t>
            </w:r>
            <w:r w:rsidR="004622D5" w:rsidRPr="00E95566">
              <w:rPr>
                <w:rFonts w:ascii="Times New Roman" w:hAnsi="Times New Roman" w:cs="Times New Roman"/>
                <w:sz w:val="21"/>
                <w:szCs w:val="21"/>
              </w:rPr>
              <w:t>.</w:t>
            </w:r>
            <w:r w:rsidRPr="00E95566">
              <w:rPr>
                <w:rFonts w:ascii="Times New Roman" w:hAnsi="Times New Roman" w:cs="Times New Roman"/>
                <w:sz w:val="21"/>
                <w:szCs w:val="21"/>
              </w:rPr>
              <w:t>Raport privind impactul asupra mediului</w:t>
            </w:r>
          </w:p>
          <w:p w14:paraId="5881E26A"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hAnsi="Times New Roman" w:cs="Times New Roman"/>
                <w:sz w:val="21"/>
                <w:szCs w:val="21"/>
              </w:rPr>
              <w:t>Alte studii specifice  - studii de specialitate necesare în funcţie de specificul investiţiei</w:t>
            </w:r>
          </w:p>
        </w:tc>
      </w:tr>
      <w:tr w:rsidR="005443F3" w:rsidRPr="00E95566" w14:paraId="441740EB" w14:textId="77777777" w:rsidTr="000E197E">
        <w:tc>
          <w:tcPr>
            <w:tcW w:w="404" w:type="pct"/>
            <w:vMerge/>
            <w:shd w:val="clear" w:color="auto" w:fill="E7E6E6" w:themeFill="background2"/>
          </w:tcPr>
          <w:p w14:paraId="3C7435E5"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51446D14"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49197EC4"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 xml:space="preserve">43 - cheltuieli pentru (documentații suport) și obținere </w:t>
            </w:r>
            <w:r w:rsidRPr="00E95566">
              <w:rPr>
                <w:rFonts w:ascii="Times New Roman" w:eastAsia="Times New Roman" w:hAnsi="Times New Roman" w:cs="Times New Roman"/>
                <w:color w:val="333333"/>
                <w:sz w:val="21"/>
                <w:szCs w:val="21"/>
              </w:rPr>
              <w:lastRenderedPageBreak/>
              <w:t>avize, acorduri, autorizații</w:t>
            </w:r>
          </w:p>
        </w:tc>
        <w:tc>
          <w:tcPr>
            <w:tcW w:w="2775" w:type="pct"/>
          </w:tcPr>
          <w:p w14:paraId="7221119F" w14:textId="448BEC78"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lastRenderedPageBreak/>
              <w:t>Documentații suport și cheltuieli pentru obtinerea de avize, acorduri și autorizații</w:t>
            </w:r>
          </w:p>
          <w:p w14:paraId="46FB884B" w14:textId="77777777" w:rsidR="00034C82" w:rsidRPr="00E95566" w:rsidRDefault="00034C82" w:rsidP="00034C82">
            <w:pPr>
              <w:ind w:left="360"/>
              <w:jc w:val="both"/>
              <w:rPr>
                <w:rFonts w:ascii="Times New Roman" w:hAnsi="Times New Roman" w:cs="Times New Roman"/>
                <w:color w:val="222A35" w:themeColor="text2" w:themeShade="80"/>
                <w:sz w:val="21"/>
                <w:szCs w:val="21"/>
              </w:rPr>
            </w:pPr>
          </w:p>
          <w:p w14:paraId="79ADFA98" w14:textId="77777777" w:rsidR="005443F3" w:rsidRPr="00E95566" w:rsidRDefault="005443F3" w:rsidP="00F613CE">
            <w:pPr>
              <w:widowControl w:val="0"/>
              <w:autoSpaceDE w:val="0"/>
              <w:autoSpaceDN w:val="0"/>
              <w:adjustRightInd w:val="0"/>
              <w:jc w:val="both"/>
              <w:rPr>
                <w:rFonts w:ascii="Times New Roman" w:hAnsi="Times New Roman" w:cs="Times New Roman"/>
                <w:bCs/>
                <w:sz w:val="21"/>
                <w:szCs w:val="21"/>
              </w:rPr>
            </w:pPr>
            <w:r w:rsidRPr="00E95566">
              <w:rPr>
                <w:rFonts w:ascii="Times New Roman" w:hAnsi="Times New Roman" w:cs="Times New Roman"/>
                <w:bCs/>
                <w:sz w:val="21"/>
                <w:szCs w:val="21"/>
              </w:rPr>
              <w:t>Cuprinde toate cheltuielile necesare pentru elaborarea documentaţiilor şi obţinerea avizelor:</w:t>
            </w:r>
          </w:p>
          <w:p w14:paraId="2273808C"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lastRenderedPageBreak/>
              <w:t xml:space="preserve">obţinerea/prelungirea valabilităţii certificatului de urbanism; obţinerea/prelungirea valabilităţii autorizaţiei de construire/desfiinţare; obţinerea avizelor şi acordurilor pentru racorduri şi branşamente la reţele publice de alimentare cu apă, canalizare, alimentare cu gaze, alimentare cu agent termic, energie electrică, telefonie;obţinerea certificatului de nomenclatură stradală şi adresă; </w:t>
            </w:r>
            <w:r w:rsidRPr="00E95566">
              <w:rPr>
                <w:rFonts w:ascii="Times New Roman" w:hAnsi="Times New Roman" w:cs="Times New Roman"/>
                <w:sz w:val="21"/>
                <w:szCs w:val="21"/>
              </w:rPr>
              <w:t>întocmirea documentaţiei, obţinerea numărului cadastral provizoriu şi înregistrarea terenului în cartea funciară;obţinerea actului administrativ al autorităţii competente pentru protecţia mediului;obţinerea avizului de protecţie civilă; alte avize, acorduri şi autorizaţii.</w:t>
            </w:r>
          </w:p>
        </w:tc>
      </w:tr>
      <w:tr w:rsidR="005443F3" w:rsidRPr="00E95566" w14:paraId="7E849519" w14:textId="77777777" w:rsidTr="000E197E">
        <w:tc>
          <w:tcPr>
            <w:tcW w:w="404" w:type="pct"/>
            <w:vMerge/>
            <w:shd w:val="clear" w:color="auto" w:fill="E7E6E6" w:themeFill="background2"/>
          </w:tcPr>
          <w:p w14:paraId="4B224AD7"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7D9E0147"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31A40591"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172 - Cheltuieli pentru expertizare tehnică a construcţiilor existente, a structurilor şi/sau, după caz, a proiectelor tehnice</w:t>
            </w:r>
          </w:p>
        </w:tc>
        <w:tc>
          <w:tcPr>
            <w:tcW w:w="2775" w:type="pct"/>
          </w:tcPr>
          <w:p w14:paraId="7C76606B"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Expertiză tehnică a construcţiilor existente, a structurilor şi/sau, după caz, a proiectelor tehnice, inclusiv întocmirea de către expertul tehnic a raportului de expertiză tehnică</w:t>
            </w:r>
          </w:p>
          <w:p w14:paraId="645DD36B" w14:textId="77777777" w:rsidR="005443F3" w:rsidRPr="00E95566" w:rsidRDefault="005443F3" w:rsidP="00F613CE">
            <w:pPr>
              <w:ind w:left="360"/>
              <w:jc w:val="both"/>
              <w:rPr>
                <w:rFonts w:ascii="Times New Roman" w:hAnsi="Times New Roman" w:cs="Times New Roman"/>
                <w:color w:val="222A35" w:themeColor="text2" w:themeShade="80"/>
                <w:sz w:val="21"/>
                <w:szCs w:val="21"/>
              </w:rPr>
            </w:pPr>
          </w:p>
        </w:tc>
      </w:tr>
      <w:tr w:rsidR="005443F3" w:rsidRPr="00E95566" w14:paraId="263574AF" w14:textId="77777777" w:rsidTr="000E197E">
        <w:tc>
          <w:tcPr>
            <w:tcW w:w="404" w:type="pct"/>
            <w:vMerge/>
            <w:shd w:val="clear" w:color="auto" w:fill="E7E6E6" w:themeFill="background2"/>
          </w:tcPr>
          <w:p w14:paraId="3F58C922"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4C28EA4D"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58B17AB7"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173 - Cheltuieli pentru certificarea performanţei energetice şi auditul energetic al clădirilor</w:t>
            </w:r>
          </w:p>
        </w:tc>
        <w:tc>
          <w:tcPr>
            <w:tcW w:w="2775" w:type="pct"/>
          </w:tcPr>
          <w:p w14:paraId="2BBDAA27"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Certificarea performanței energetice și auditul energetic al clădirilor</w:t>
            </w:r>
          </w:p>
        </w:tc>
      </w:tr>
      <w:tr w:rsidR="005443F3" w:rsidRPr="00E95566" w14:paraId="242F471E" w14:textId="77777777" w:rsidTr="000E197E">
        <w:trPr>
          <w:trHeight w:val="467"/>
        </w:trPr>
        <w:tc>
          <w:tcPr>
            <w:tcW w:w="404" w:type="pct"/>
            <w:vMerge/>
            <w:shd w:val="clear" w:color="auto" w:fill="E7E6E6" w:themeFill="background2"/>
          </w:tcPr>
          <w:p w14:paraId="6BCA213B"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4469D576" w14:textId="77777777" w:rsidR="005443F3" w:rsidRPr="00E95566" w:rsidRDefault="005443F3" w:rsidP="00F613CE">
            <w:pPr>
              <w:jc w:val="both"/>
              <w:rPr>
                <w:rFonts w:ascii="Times New Roman" w:hAnsi="Times New Roman" w:cs="Times New Roman"/>
                <w:noProof/>
                <w:color w:val="222A35" w:themeColor="text2" w:themeShade="80"/>
                <w:sz w:val="21"/>
                <w:szCs w:val="21"/>
              </w:rPr>
            </w:pPr>
            <w:r w:rsidRPr="00E95566">
              <w:rPr>
                <w:rFonts w:ascii="Times New Roman" w:eastAsia="Times New Roman" w:hAnsi="Times New Roman" w:cs="Times New Roman"/>
                <w:noProof/>
                <w:color w:val="333333"/>
                <w:sz w:val="21"/>
                <w:szCs w:val="21"/>
              </w:rPr>
              <w:t>14 - cheltuieli pentru proiectare și asistență tehnică</w:t>
            </w:r>
          </w:p>
        </w:tc>
        <w:tc>
          <w:tcPr>
            <w:tcW w:w="956" w:type="pct"/>
            <w:vAlign w:val="center"/>
          </w:tcPr>
          <w:p w14:paraId="2B2EE19E" w14:textId="77777777" w:rsidR="005443F3" w:rsidRPr="00E95566" w:rsidRDefault="005443F3" w:rsidP="00F613CE">
            <w:pPr>
              <w:spacing w:before="100" w:beforeAutospacing="1" w:after="100" w:afterAutospacing="1"/>
              <w:rPr>
                <w:rFonts w:ascii="Times New Roman" w:eastAsia="Times New Roman" w:hAnsi="Times New Roman" w:cs="Times New Roman"/>
                <w:noProof/>
                <w:color w:val="333333"/>
                <w:sz w:val="21"/>
                <w:szCs w:val="21"/>
              </w:rPr>
            </w:pPr>
            <w:r w:rsidRPr="00E95566">
              <w:rPr>
                <w:rFonts w:ascii="Times New Roman" w:eastAsia="Times New Roman" w:hAnsi="Times New Roman" w:cs="Times New Roman"/>
                <w:noProof/>
                <w:color w:val="333333"/>
                <w:sz w:val="21"/>
                <w:szCs w:val="21"/>
              </w:rPr>
              <w:t>174 - Cheltuieli pentru proiectare cf HG 907</w:t>
            </w:r>
          </w:p>
          <w:p w14:paraId="40922465" w14:textId="77777777" w:rsidR="005443F3" w:rsidRPr="00E95566" w:rsidRDefault="005443F3" w:rsidP="00F613CE">
            <w:pPr>
              <w:jc w:val="both"/>
              <w:rPr>
                <w:rFonts w:ascii="Times New Roman" w:hAnsi="Times New Roman" w:cs="Times New Roman"/>
                <w:noProof/>
                <w:color w:val="222A35" w:themeColor="text2" w:themeShade="80"/>
                <w:sz w:val="21"/>
                <w:szCs w:val="21"/>
              </w:rPr>
            </w:pPr>
          </w:p>
        </w:tc>
        <w:tc>
          <w:tcPr>
            <w:tcW w:w="2775" w:type="pct"/>
          </w:tcPr>
          <w:p w14:paraId="418B00CC" w14:textId="77777777" w:rsidR="005443F3" w:rsidRPr="00E95566" w:rsidRDefault="005443F3" w:rsidP="002E0454">
            <w:pPr>
              <w:numPr>
                <w:ilvl w:val="0"/>
                <w:numId w:val="156"/>
              </w:numPr>
              <w:jc w:val="both"/>
              <w:rPr>
                <w:rFonts w:ascii="Times New Roman" w:hAnsi="Times New Roman" w:cs="Times New Roman"/>
                <w:noProof/>
                <w:color w:val="222A35" w:themeColor="text2" w:themeShade="80"/>
                <w:sz w:val="21"/>
                <w:szCs w:val="21"/>
              </w:rPr>
            </w:pPr>
            <w:r w:rsidRPr="00E95566">
              <w:rPr>
                <w:rFonts w:ascii="Times New Roman" w:hAnsi="Times New Roman" w:cs="Times New Roman"/>
                <w:bCs/>
                <w:noProof/>
                <w:sz w:val="21"/>
                <w:szCs w:val="21"/>
              </w:rPr>
              <w:t>Proiectare</w:t>
            </w:r>
          </w:p>
          <w:p w14:paraId="0CAA5E3D" w14:textId="77777777" w:rsidR="005443F3" w:rsidRPr="00E95566" w:rsidRDefault="005443F3" w:rsidP="00F613CE">
            <w:pPr>
              <w:jc w:val="both"/>
              <w:rPr>
                <w:rFonts w:ascii="Times New Roman" w:hAnsi="Times New Roman" w:cs="Times New Roman"/>
                <w:noProof/>
                <w:color w:val="222A35" w:themeColor="text2" w:themeShade="80"/>
                <w:sz w:val="21"/>
                <w:szCs w:val="21"/>
              </w:rPr>
            </w:pPr>
            <w:r w:rsidRPr="00E95566">
              <w:rPr>
                <w:rFonts w:ascii="Times New Roman" w:hAnsi="Times New Roman" w:cs="Times New Roman"/>
                <w:bCs/>
                <w:noProof/>
                <w:sz w:val="21"/>
                <w:szCs w:val="21"/>
              </w:rPr>
              <w:t>Tema de proiectare</w:t>
            </w:r>
          </w:p>
          <w:p w14:paraId="7EEE129D" w14:textId="77777777" w:rsidR="005443F3" w:rsidRPr="00E95566" w:rsidRDefault="005443F3" w:rsidP="00F613CE">
            <w:pPr>
              <w:jc w:val="both"/>
              <w:rPr>
                <w:rFonts w:ascii="Times New Roman" w:hAnsi="Times New Roman" w:cs="Times New Roman"/>
                <w:noProof/>
                <w:color w:val="222A35" w:themeColor="text2" w:themeShade="80"/>
                <w:sz w:val="21"/>
                <w:szCs w:val="21"/>
              </w:rPr>
            </w:pPr>
            <w:r w:rsidRPr="00E95566">
              <w:rPr>
                <w:rFonts w:ascii="Times New Roman" w:hAnsi="Times New Roman" w:cs="Times New Roman"/>
                <w:bCs/>
                <w:noProof/>
                <w:sz w:val="21"/>
                <w:szCs w:val="21"/>
              </w:rPr>
              <w:t>Studiu de prefezabilitate</w:t>
            </w:r>
          </w:p>
          <w:p w14:paraId="0E4D03AE" w14:textId="77777777" w:rsidR="005443F3" w:rsidRPr="00E95566" w:rsidRDefault="005443F3" w:rsidP="00F613CE">
            <w:pPr>
              <w:jc w:val="both"/>
              <w:rPr>
                <w:rStyle w:val="a"/>
                <w:rFonts w:ascii="Times New Roman" w:hAnsi="Times New Roman" w:cs="Times New Roman"/>
                <w:noProof/>
                <w:color w:val="222A35" w:themeColor="text2" w:themeShade="80"/>
                <w:sz w:val="21"/>
                <w:szCs w:val="21"/>
              </w:rPr>
            </w:pPr>
            <w:r w:rsidRPr="00E95566">
              <w:rPr>
                <w:rStyle w:val="a"/>
                <w:rFonts w:ascii="Times New Roman" w:hAnsi="Times New Roman" w:cs="Times New Roman"/>
                <w:noProof/>
                <w:sz w:val="21"/>
                <w:szCs w:val="21"/>
                <w:bdr w:val="none" w:sz="0" w:space="0" w:color="auto" w:frame="1"/>
                <w:shd w:val="clear" w:color="auto" w:fill="FFFFFF"/>
              </w:rPr>
              <w:t>Studiu de fezabilitate/documentatie de avizare a</w:t>
            </w:r>
            <w:r w:rsidRPr="00E95566">
              <w:rPr>
                <w:rStyle w:val="apple-converted-space"/>
                <w:rFonts w:ascii="Times New Roman" w:hAnsi="Times New Roman" w:cs="Times New Roman"/>
                <w:noProof/>
                <w:sz w:val="21"/>
                <w:szCs w:val="21"/>
                <w:bdr w:val="none" w:sz="0" w:space="0" w:color="auto" w:frame="1"/>
                <w:shd w:val="clear" w:color="auto" w:fill="FFFFFF"/>
              </w:rPr>
              <w:t> </w:t>
            </w:r>
            <w:r w:rsidRPr="00E95566">
              <w:rPr>
                <w:rStyle w:val="a"/>
                <w:rFonts w:ascii="Times New Roman" w:hAnsi="Times New Roman" w:cs="Times New Roman"/>
                <w:noProof/>
                <w:sz w:val="21"/>
                <w:szCs w:val="21"/>
                <w:bdr w:val="none" w:sz="0" w:space="0" w:color="auto" w:frame="1"/>
                <w:shd w:val="clear" w:color="auto" w:fill="FFFFFF"/>
              </w:rPr>
              <w:t>lucrarilor de interventii si deviz general</w:t>
            </w:r>
          </w:p>
          <w:p w14:paraId="3B92DA64" w14:textId="77777777" w:rsidR="005443F3" w:rsidRPr="00E95566" w:rsidRDefault="005443F3" w:rsidP="00F613CE">
            <w:pPr>
              <w:jc w:val="both"/>
              <w:rPr>
                <w:rStyle w:val="a"/>
                <w:rFonts w:ascii="Times New Roman" w:hAnsi="Times New Roman" w:cs="Times New Roman"/>
                <w:noProof/>
                <w:color w:val="222A35" w:themeColor="text2" w:themeShade="80"/>
                <w:sz w:val="21"/>
                <w:szCs w:val="21"/>
              </w:rPr>
            </w:pPr>
            <w:r w:rsidRPr="00E95566">
              <w:rPr>
                <w:rStyle w:val="a"/>
                <w:rFonts w:ascii="Times New Roman" w:hAnsi="Times New Roman" w:cs="Times New Roman"/>
                <w:noProof/>
                <w:sz w:val="21"/>
                <w:szCs w:val="21"/>
                <w:bdr w:val="none" w:sz="0" w:space="0" w:color="auto" w:frame="1"/>
                <w:shd w:val="clear" w:color="auto" w:fill="FFFFFF"/>
              </w:rPr>
              <w:t>Documentatiile tehnice necesare in vederea obtinerii avizelor/acordurilor/autorizatiilor</w:t>
            </w:r>
          </w:p>
          <w:p w14:paraId="0BD1004E" w14:textId="77777777" w:rsidR="005443F3" w:rsidRPr="00E95566" w:rsidRDefault="005443F3" w:rsidP="00F613CE">
            <w:pPr>
              <w:jc w:val="both"/>
              <w:rPr>
                <w:rStyle w:val="a"/>
                <w:rFonts w:ascii="Times New Roman" w:hAnsi="Times New Roman" w:cs="Times New Roman"/>
                <w:noProof/>
                <w:color w:val="222A35" w:themeColor="text2" w:themeShade="80"/>
                <w:sz w:val="21"/>
                <w:szCs w:val="21"/>
              </w:rPr>
            </w:pPr>
            <w:r w:rsidRPr="00E95566">
              <w:rPr>
                <w:rStyle w:val="a"/>
                <w:rFonts w:ascii="Times New Roman" w:hAnsi="Times New Roman" w:cs="Times New Roman"/>
                <w:noProof/>
                <w:sz w:val="21"/>
                <w:szCs w:val="21"/>
                <w:bdr w:val="none" w:sz="0" w:space="0" w:color="auto" w:frame="1"/>
                <w:shd w:val="clear" w:color="auto" w:fill="FFFFFF"/>
              </w:rPr>
              <w:t>Verificarea tehnica de calitate a proiectului tehnic si a detaliilor de executie</w:t>
            </w:r>
          </w:p>
          <w:p w14:paraId="3CC399DD" w14:textId="77777777" w:rsidR="005443F3" w:rsidRPr="00E95566" w:rsidRDefault="005443F3" w:rsidP="00F613CE">
            <w:pPr>
              <w:jc w:val="both"/>
              <w:rPr>
                <w:rFonts w:ascii="Times New Roman" w:hAnsi="Times New Roman" w:cs="Times New Roman"/>
                <w:noProof/>
                <w:sz w:val="21"/>
                <w:szCs w:val="21"/>
                <w:shd w:val="clear" w:color="auto" w:fill="FFFFFF"/>
              </w:rPr>
            </w:pPr>
            <w:r w:rsidRPr="00E95566">
              <w:rPr>
                <w:rFonts w:ascii="Times New Roman" w:hAnsi="Times New Roman" w:cs="Times New Roman"/>
                <w:noProof/>
                <w:sz w:val="21"/>
                <w:szCs w:val="21"/>
                <w:shd w:val="clear" w:color="auto" w:fill="FFFFFF"/>
              </w:rPr>
              <w:t>Proiect tehnic si detalii de executie</w:t>
            </w:r>
          </w:p>
          <w:p w14:paraId="6C0558DF" w14:textId="7B245AFD" w:rsidR="00034C82" w:rsidRPr="00E95566" w:rsidRDefault="00034C82" w:rsidP="00F613CE">
            <w:pPr>
              <w:jc w:val="both"/>
              <w:rPr>
                <w:rFonts w:ascii="Times New Roman" w:hAnsi="Times New Roman" w:cs="Times New Roman"/>
                <w:noProof/>
                <w:color w:val="222A35" w:themeColor="text2" w:themeShade="80"/>
                <w:sz w:val="21"/>
                <w:szCs w:val="21"/>
              </w:rPr>
            </w:pPr>
          </w:p>
        </w:tc>
      </w:tr>
      <w:tr w:rsidR="005443F3" w:rsidRPr="00E95566" w14:paraId="493DEEB2" w14:textId="77777777" w:rsidTr="000E197E">
        <w:tc>
          <w:tcPr>
            <w:tcW w:w="404" w:type="pct"/>
            <w:vMerge/>
            <w:shd w:val="clear" w:color="auto" w:fill="E7E6E6" w:themeFill="background2"/>
          </w:tcPr>
          <w:p w14:paraId="44C81726"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4B2CF10F"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noProof/>
                <w:color w:val="333333"/>
                <w:sz w:val="21"/>
                <w:szCs w:val="21"/>
              </w:rPr>
              <w:t>14 - cheltuieli pentru proiectare și asistență tehnică</w:t>
            </w:r>
          </w:p>
        </w:tc>
        <w:tc>
          <w:tcPr>
            <w:tcW w:w="956" w:type="pct"/>
            <w:vAlign w:val="center"/>
          </w:tcPr>
          <w:p w14:paraId="1628A7A4"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47 - cheltuieli pentru organizarea procedurilor de achiziţie</w:t>
            </w:r>
          </w:p>
        </w:tc>
        <w:tc>
          <w:tcPr>
            <w:tcW w:w="2775" w:type="pct"/>
          </w:tcPr>
          <w:p w14:paraId="30B3F43A" w14:textId="77777777" w:rsidR="005443F3" w:rsidRPr="00E95566" w:rsidRDefault="005443F3" w:rsidP="002E0454">
            <w:pPr>
              <w:numPr>
                <w:ilvl w:val="0"/>
                <w:numId w:val="156"/>
              </w:numPr>
              <w:jc w:val="both"/>
              <w:rPr>
                <w:rFonts w:ascii="Times New Roman" w:hAnsi="Times New Roman" w:cs="Times New Roman"/>
                <w:sz w:val="21"/>
                <w:szCs w:val="21"/>
              </w:rPr>
            </w:pPr>
            <w:r w:rsidRPr="00E95566">
              <w:rPr>
                <w:rFonts w:ascii="Times New Roman" w:hAnsi="Times New Roman" w:cs="Times New Roman"/>
                <w:sz w:val="21"/>
                <w:szCs w:val="21"/>
              </w:rPr>
              <w:t>Organizarea procedurilor de achiziție</w:t>
            </w:r>
          </w:p>
          <w:p w14:paraId="02AD3103"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sz w:val="21"/>
                <w:szCs w:val="21"/>
              </w:rPr>
              <w:t>Cuprinde cheltuieli aferente organizării şi derulării procedurilor de achiziţii publice:</w:t>
            </w:r>
            <w:r w:rsidRPr="00E95566">
              <w:rPr>
                <w:rStyle w:val="apple-converted-space"/>
                <w:rFonts w:ascii="Times New Roman" w:hAnsi="Times New Roman" w:cs="Times New Roman"/>
                <w:sz w:val="21"/>
                <w:szCs w:val="21"/>
              </w:rPr>
              <w:t> </w:t>
            </w:r>
            <w:r w:rsidRPr="00E95566">
              <w:rPr>
                <w:rFonts w:ascii="Times New Roman" w:hAnsi="Times New Roman" w:cs="Times New Roman"/>
                <w:sz w:val="21"/>
                <w:szCs w:val="21"/>
              </w:rPr>
              <w:t>cheltuieli aferente întocmirii documentaţiei de atribuire şi multiplicării acesteia (exclusiv cele cumpărate de ofertanţi);cheltuieli cu onorariile, transportul, cazarea şi diurna membrilor desemnaţi în comisiile de evaluare;anunţuri de intenţie, de participare şi de atribuire a contractelor, corespondenţă prin poştă, fax, poştă electronică în legătură cu procedurile de achiziţie publică;</w:t>
            </w:r>
            <w:r w:rsidRPr="00E95566">
              <w:rPr>
                <w:rFonts w:ascii="Times New Roman" w:hAnsi="Times New Roman" w:cs="Times New Roman"/>
                <w:sz w:val="21"/>
                <w:szCs w:val="21"/>
                <w:shd w:val="clear" w:color="auto" w:fill="FFFFFF"/>
              </w:rPr>
              <w:t xml:space="preserve"> cheltuieli aferente organizării şi derulării procedurilor de achiziţii publice.</w:t>
            </w:r>
          </w:p>
        </w:tc>
      </w:tr>
      <w:tr w:rsidR="005443F3" w:rsidRPr="00E95566" w14:paraId="71B81DA5" w14:textId="77777777" w:rsidTr="000E197E">
        <w:tc>
          <w:tcPr>
            <w:tcW w:w="404" w:type="pct"/>
            <w:vMerge/>
            <w:shd w:val="clear" w:color="auto" w:fill="E7E6E6" w:themeFill="background2"/>
          </w:tcPr>
          <w:p w14:paraId="67FAFBC1"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22990AD5"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noProof/>
                <w:color w:val="333333"/>
                <w:sz w:val="21"/>
                <w:szCs w:val="21"/>
              </w:rPr>
              <w:t>14 - cheltuieli pentru proiectare și asistență tehnică</w:t>
            </w:r>
          </w:p>
        </w:tc>
        <w:tc>
          <w:tcPr>
            <w:tcW w:w="956" w:type="pct"/>
            <w:vAlign w:val="center"/>
          </w:tcPr>
          <w:p w14:paraId="6441608C"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 xml:space="preserve">175 - Cheltuieli de consultanță aferente managementului de proiect pentru </w:t>
            </w:r>
            <w:r w:rsidRPr="00E95566">
              <w:rPr>
                <w:rFonts w:ascii="Times New Roman" w:eastAsia="Times New Roman" w:hAnsi="Times New Roman" w:cs="Times New Roman"/>
                <w:color w:val="333333"/>
                <w:sz w:val="21"/>
                <w:szCs w:val="21"/>
              </w:rPr>
              <w:lastRenderedPageBreak/>
              <w:t>obiectivul de investiții</w:t>
            </w:r>
          </w:p>
        </w:tc>
        <w:tc>
          <w:tcPr>
            <w:tcW w:w="2775" w:type="pct"/>
          </w:tcPr>
          <w:p w14:paraId="3B21CC87"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lastRenderedPageBreak/>
              <w:t>Managementul de proiect pentru obiectivul de investiții</w:t>
            </w:r>
          </w:p>
          <w:p w14:paraId="1AB01F93" w14:textId="77777777" w:rsidR="005443F3" w:rsidRPr="00E95566" w:rsidRDefault="005443F3" w:rsidP="00F613CE">
            <w:pPr>
              <w:tabs>
                <w:tab w:val="left" w:pos="1770"/>
              </w:tabs>
              <w:rPr>
                <w:rFonts w:ascii="Times New Roman" w:hAnsi="Times New Roman" w:cs="Times New Roman"/>
                <w:sz w:val="21"/>
                <w:szCs w:val="21"/>
              </w:rPr>
            </w:pPr>
            <w:r w:rsidRPr="00E95566">
              <w:rPr>
                <w:rFonts w:ascii="Times New Roman" w:hAnsi="Times New Roman" w:cs="Times New Roman"/>
                <w:sz w:val="21"/>
                <w:szCs w:val="21"/>
              </w:rPr>
              <w:tab/>
            </w:r>
          </w:p>
        </w:tc>
      </w:tr>
      <w:tr w:rsidR="005443F3" w:rsidRPr="00E95566" w14:paraId="6308AB0A" w14:textId="77777777" w:rsidTr="000E197E">
        <w:tc>
          <w:tcPr>
            <w:tcW w:w="404" w:type="pct"/>
            <w:vMerge/>
            <w:shd w:val="clear" w:color="auto" w:fill="E7E6E6" w:themeFill="background2"/>
          </w:tcPr>
          <w:p w14:paraId="3F563B94"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6A386153"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noProof/>
                <w:color w:val="333333"/>
                <w:sz w:val="21"/>
                <w:szCs w:val="21"/>
              </w:rPr>
              <w:t>14 - cheltuieli pentru proiectare și asistență tehnică</w:t>
            </w:r>
          </w:p>
        </w:tc>
        <w:tc>
          <w:tcPr>
            <w:tcW w:w="956" w:type="pct"/>
            <w:vAlign w:val="center"/>
          </w:tcPr>
          <w:p w14:paraId="0FFA8EB6"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176 - Cheltuieli de consultanță pentru auditul financiar</w:t>
            </w:r>
          </w:p>
        </w:tc>
        <w:tc>
          <w:tcPr>
            <w:tcW w:w="2775" w:type="pct"/>
          </w:tcPr>
          <w:p w14:paraId="1A41A2A1"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Auditul financiar</w:t>
            </w:r>
          </w:p>
        </w:tc>
      </w:tr>
      <w:tr w:rsidR="005443F3" w:rsidRPr="00E95566" w14:paraId="75718F14" w14:textId="77777777" w:rsidTr="000E197E">
        <w:tc>
          <w:tcPr>
            <w:tcW w:w="404" w:type="pct"/>
            <w:vMerge/>
            <w:shd w:val="clear" w:color="auto" w:fill="E7E6E6" w:themeFill="background2"/>
          </w:tcPr>
          <w:p w14:paraId="5E969372"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51A35D12" w14:textId="77777777" w:rsidR="005443F3" w:rsidRPr="00E95566" w:rsidRDefault="005443F3" w:rsidP="00F613CE">
            <w:pPr>
              <w:jc w:val="both"/>
              <w:rPr>
                <w:rFonts w:ascii="Times New Roman" w:eastAsia="Times New Roman" w:hAnsi="Times New Roman" w:cs="Times New Roman"/>
                <w:noProof/>
                <w:color w:val="333333"/>
                <w:sz w:val="21"/>
                <w:szCs w:val="21"/>
              </w:rPr>
            </w:pPr>
            <w:r w:rsidRPr="00E95566">
              <w:rPr>
                <w:rFonts w:ascii="Times New Roman" w:eastAsia="Times New Roman" w:hAnsi="Times New Roman" w:cs="Times New Roman"/>
                <w:noProof/>
                <w:color w:val="333333"/>
                <w:sz w:val="21"/>
                <w:szCs w:val="21"/>
              </w:rPr>
              <w:t>14 - cheltuieli pentru proiectare și asistență tehnică</w:t>
            </w:r>
          </w:p>
        </w:tc>
        <w:tc>
          <w:tcPr>
            <w:tcW w:w="956" w:type="pct"/>
            <w:vAlign w:val="center"/>
          </w:tcPr>
          <w:p w14:paraId="03366185" w14:textId="77777777" w:rsidR="005443F3" w:rsidRPr="00E95566" w:rsidRDefault="005443F3" w:rsidP="00F613CE">
            <w:pPr>
              <w:jc w:val="both"/>
              <w:rPr>
                <w:rFonts w:ascii="Times New Roman" w:eastAsia="Times New Roman" w:hAnsi="Times New Roman" w:cs="Times New Roman"/>
                <w:noProof/>
                <w:color w:val="333333"/>
                <w:sz w:val="21"/>
                <w:szCs w:val="21"/>
              </w:rPr>
            </w:pPr>
            <w:r w:rsidRPr="00E95566">
              <w:rPr>
                <w:rFonts w:ascii="Times New Roman" w:eastAsia="Times New Roman" w:hAnsi="Times New Roman" w:cs="Times New Roman"/>
                <w:noProof/>
                <w:color w:val="333333"/>
                <w:sz w:val="21"/>
                <w:szCs w:val="21"/>
              </w:rPr>
              <w:t>50 - cheltuieli cu asistență tehnică din partea proiectantului pe perioada de execuție</w:t>
            </w:r>
          </w:p>
        </w:tc>
        <w:tc>
          <w:tcPr>
            <w:tcW w:w="2775" w:type="pct"/>
          </w:tcPr>
          <w:p w14:paraId="5847E6F5"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hAnsi="Times New Roman" w:cs="Times New Roman"/>
                <w:bCs/>
                <w:sz w:val="21"/>
                <w:szCs w:val="21"/>
              </w:rPr>
              <w:t>Asistență tehnică</w:t>
            </w:r>
          </w:p>
          <w:p w14:paraId="59743553"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Asistență tehnică din partea proiectantului</w:t>
            </w:r>
          </w:p>
          <w:p w14:paraId="5A2E8658" w14:textId="77777777" w:rsidR="005443F3" w:rsidRPr="00E95566" w:rsidRDefault="005443F3" w:rsidP="002E0454">
            <w:pPr>
              <w:pStyle w:val="ListParagraph"/>
              <w:numPr>
                <w:ilvl w:val="0"/>
                <w:numId w:val="159"/>
              </w:numPr>
              <w:jc w:val="both"/>
              <w:rPr>
                <w:rFonts w:ascii="Times New Roman" w:hAnsi="Times New Roman"/>
                <w:color w:val="222A35" w:themeColor="text2" w:themeShade="80"/>
                <w:sz w:val="21"/>
                <w:szCs w:val="21"/>
              </w:rPr>
            </w:pPr>
            <w:r w:rsidRPr="00E95566">
              <w:rPr>
                <w:rFonts w:ascii="Times New Roman" w:hAnsi="Times New Roman"/>
                <w:color w:val="333333"/>
                <w:sz w:val="21"/>
                <w:szCs w:val="21"/>
              </w:rPr>
              <w:t>pe perioada de execuție a lucrărilor</w:t>
            </w:r>
          </w:p>
          <w:p w14:paraId="45E4CBF7" w14:textId="77777777" w:rsidR="005443F3" w:rsidRPr="00E95566" w:rsidRDefault="005443F3" w:rsidP="002E0454">
            <w:pPr>
              <w:pStyle w:val="ListParagraph"/>
              <w:numPr>
                <w:ilvl w:val="0"/>
                <w:numId w:val="159"/>
              </w:numPr>
              <w:jc w:val="both"/>
              <w:rPr>
                <w:rFonts w:ascii="Times New Roman" w:hAnsi="Times New Roman"/>
                <w:color w:val="222A35" w:themeColor="text2" w:themeShade="80"/>
                <w:sz w:val="21"/>
                <w:szCs w:val="21"/>
              </w:rPr>
            </w:pPr>
            <w:r w:rsidRPr="00E95566">
              <w:rPr>
                <w:rFonts w:ascii="Times New Roman" w:hAnsi="Times New Roman"/>
                <w:color w:val="333333"/>
                <w:sz w:val="21"/>
                <w:szCs w:val="21"/>
              </w:rPr>
              <w:t>pentru participarea proiectantului la fazele incluse în programul de control al lucrărilor de execuție, avizat de către Inspectoratul de Stat în Construcții</w:t>
            </w:r>
          </w:p>
        </w:tc>
      </w:tr>
      <w:tr w:rsidR="005443F3" w:rsidRPr="00E95566" w14:paraId="2272B57E" w14:textId="77777777" w:rsidTr="000E197E">
        <w:tc>
          <w:tcPr>
            <w:tcW w:w="404" w:type="pct"/>
            <w:vMerge/>
            <w:shd w:val="clear" w:color="auto" w:fill="E7E6E6" w:themeFill="background2"/>
          </w:tcPr>
          <w:p w14:paraId="208AF5FE"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0E0BD157"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766AB5B1"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51 - cheltuieli cu plata diriginților de șantier</w:t>
            </w:r>
          </w:p>
        </w:tc>
        <w:tc>
          <w:tcPr>
            <w:tcW w:w="2775" w:type="pct"/>
          </w:tcPr>
          <w:p w14:paraId="76C94541"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Dirigenție de șantier</w:t>
            </w:r>
          </w:p>
        </w:tc>
      </w:tr>
      <w:tr w:rsidR="005443F3" w:rsidRPr="00E95566" w14:paraId="2434495C" w14:textId="77777777" w:rsidTr="000E197E">
        <w:tc>
          <w:tcPr>
            <w:tcW w:w="404" w:type="pct"/>
            <w:shd w:val="clear" w:color="auto" w:fill="E7E6E6" w:themeFill="background2"/>
          </w:tcPr>
          <w:p w14:paraId="25A96563"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6EA34CCC"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14 - cheltuieli pentru proiectare și asistență tehnică</w:t>
            </w:r>
          </w:p>
        </w:tc>
        <w:tc>
          <w:tcPr>
            <w:tcW w:w="956" w:type="pct"/>
            <w:vAlign w:val="center"/>
          </w:tcPr>
          <w:p w14:paraId="09C6130B"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45 - cheltuieli pentru consultanță</w:t>
            </w:r>
          </w:p>
        </w:tc>
        <w:tc>
          <w:tcPr>
            <w:tcW w:w="2775" w:type="pct"/>
          </w:tcPr>
          <w:p w14:paraId="0ED533E3"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Servicii de consultanță pentru întocmirea dosarului cererii de finanțare</w:t>
            </w:r>
          </w:p>
        </w:tc>
      </w:tr>
      <w:tr w:rsidR="005443F3" w:rsidRPr="00E95566" w14:paraId="3CC9328A" w14:textId="77777777" w:rsidTr="000E197E">
        <w:tc>
          <w:tcPr>
            <w:tcW w:w="404" w:type="pct"/>
            <w:shd w:val="clear" w:color="auto" w:fill="E7E6E6" w:themeFill="background2"/>
          </w:tcPr>
          <w:p w14:paraId="04EF0340"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vAlign w:val="center"/>
          </w:tcPr>
          <w:p w14:paraId="605C63E6"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53714A7E"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53 - cheltuieli pentru construcții și instalații</w:t>
            </w:r>
          </w:p>
        </w:tc>
        <w:tc>
          <w:tcPr>
            <w:tcW w:w="2775" w:type="pct"/>
          </w:tcPr>
          <w:p w14:paraId="3C4398BE"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Construcţii și instalații</w:t>
            </w:r>
          </w:p>
          <w:p w14:paraId="08478A1E"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Cheltuieli aferente execuției  tuturor obiectelor cuprinse în  obiectivul de investiție</w:t>
            </w:r>
          </w:p>
          <w:p w14:paraId="3B8A5340" w14:textId="77777777" w:rsidR="005443F3" w:rsidRPr="00E95566" w:rsidRDefault="005443F3" w:rsidP="00F613CE">
            <w:pPr>
              <w:widowControl w:val="0"/>
              <w:autoSpaceDE w:val="0"/>
              <w:autoSpaceDN w:val="0"/>
              <w:adjustRightInd w:val="0"/>
              <w:rPr>
                <w:rFonts w:ascii="Times New Roman" w:hAnsi="Times New Roman" w:cs="Times New Roman"/>
                <w:bCs/>
                <w:sz w:val="21"/>
                <w:szCs w:val="21"/>
              </w:rPr>
            </w:pPr>
            <w:r w:rsidRPr="00E95566">
              <w:rPr>
                <w:rFonts w:ascii="Times New Roman" w:hAnsi="Times New Roman" w:cs="Times New Roman"/>
                <w:bCs/>
                <w:sz w:val="21"/>
                <w:szCs w:val="21"/>
              </w:rPr>
              <w:t>Cheltuielile se desfăşoară pe obiecte de construcţie, iar delimitarea obiectelor se face de către proiectant.</w:t>
            </w:r>
          </w:p>
          <w:p w14:paraId="44A89A7D"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hAnsi="Times New Roman" w:cs="Times New Roman"/>
                <w:bCs/>
                <w:sz w:val="21"/>
                <w:szCs w:val="21"/>
              </w:rPr>
              <w:t>Cheltuielile aferente fiecărui obiect de construcţie sunt estimate prin devizul pe obiect.</w:t>
            </w:r>
          </w:p>
          <w:p w14:paraId="133B77E4"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Achiziția de construcții*</w:t>
            </w:r>
          </w:p>
          <w:p w14:paraId="6B732E6E"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sz w:val="21"/>
                <w:szCs w:val="21"/>
              </w:rPr>
              <w:t>Se includ cheltuielile efectuate pentru achiziția de construcții</w:t>
            </w:r>
          </w:p>
        </w:tc>
      </w:tr>
      <w:tr w:rsidR="005443F3" w:rsidRPr="00E95566" w14:paraId="052E0B46" w14:textId="77777777" w:rsidTr="000E197E">
        <w:tc>
          <w:tcPr>
            <w:tcW w:w="404" w:type="pct"/>
            <w:shd w:val="clear" w:color="auto" w:fill="E7E6E6" w:themeFill="background2"/>
          </w:tcPr>
          <w:p w14:paraId="0DA4A649"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008C034F" w14:textId="77777777" w:rsidR="005443F3" w:rsidRPr="00E95566" w:rsidRDefault="005443F3" w:rsidP="00F613CE">
            <w:pPr>
              <w:rPr>
                <w:rFonts w:ascii="Times New Roman" w:hAnsi="Times New Roman" w:cs="Times New Roman"/>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16679770"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178 - cheltuieli cu montaj utilaje, echipamente tehnologice şi funcţionale</w:t>
            </w:r>
          </w:p>
        </w:tc>
        <w:tc>
          <w:tcPr>
            <w:tcW w:w="2775" w:type="pct"/>
          </w:tcPr>
          <w:p w14:paraId="1F295DD6"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Montaj utilaje, echipamente tehnologice și funcționale</w:t>
            </w:r>
          </w:p>
          <w:p w14:paraId="110197ED"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Se cuprind cheltuielile aferente montajului utilajelor tehnologice şi al utilajelor incluse în instalaţiile funcţionale, inclusiv reţelele aferente necesare funcţionării acestora. Cheltuielile se desfăşoară pe obiecte de construcţie.</w:t>
            </w:r>
          </w:p>
        </w:tc>
      </w:tr>
      <w:tr w:rsidR="005443F3" w:rsidRPr="00E95566" w14:paraId="6636D421" w14:textId="77777777" w:rsidTr="000E197E">
        <w:tc>
          <w:tcPr>
            <w:tcW w:w="404" w:type="pct"/>
            <w:shd w:val="clear" w:color="auto" w:fill="E7E6E6" w:themeFill="background2"/>
          </w:tcPr>
          <w:p w14:paraId="52731FAF"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259354F4" w14:textId="77777777" w:rsidR="005443F3" w:rsidRPr="00E95566" w:rsidRDefault="005443F3" w:rsidP="00F613CE">
            <w:pPr>
              <w:rPr>
                <w:rFonts w:ascii="Times New Roman" w:hAnsi="Times New Roman" w:cs="Times New Roman"/>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202EE4AB"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179 - cheltuieli cu utilaje, echipamente tehnologice şi funcţionale care necesită montaj</w:t>
            </w:r>
          </w:p>
        </w:tc>
        <w:tc>
          <w:tcPr>
            <w:tcW w:w="2775" w:type="pct"/>
          </w:tcPr>
          <w:p w14:paraId="4207274C"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Utilaje, echipamente tehnologice și funcționale care necesită montaj</w:t>
            </w:r>
          </w:p>
          <w:p w14:paraId="277B6AC6" w14:textId="77777777" w:rsidR="005443F3" w:rsidRPr="00E95566" w:rsidRDefault="005443F3" w:rsidP="00F613CE">
            <w:pPr>
              <w:widowControl w:val="0"/>
              <w:autoSpaceDE w:val="0"/>
              <w:autoSpaceDN w:val="0"/>
              <w:adjustRightInd w:val="0"/>
              <w:rPr>
                <w:rFonts w:ascii="Times New Roman" w:hAnsi="Times New Roman" w:cs="Times New Roman"/>
                <w:bCs/>
                <w:sz w:val="21"/>
                <w:szCs w:val="21"/>
              </w:rPr>
            </w:pPr>
            <w:r w:rsidRPr="00E95566">
              <w:rPr>
                <w:rFonts w:ascii="Times New Roman" w:hAnsi="Times New Roman" w:cs="Times New Roman"/>
                <w:bCs/>
                <w:sz w:val="21"/>
                <w:szCs w:val="21"/>
              </w:rPr>
              <w:t>Utilaje, echipamente tehnologice şi funcţionale cu montaj</w:t>
            </w:r>
          </w:p>
          <w:p w14:paraId="44BBF171" w14:textId="77777777" w:rsidR="005443F3" w:rsidRPr="00E95566" w:rsidRDefault="005443F3" w:rsidP="00F613CE">
            <w:pPr>
              <w:widowControl w:val="0"/>
              <w:autoSpaceDE w:val="0"/>
              <w:autoSpaceDN w:val="0"/>
              <w:adjustRightInd w:val="0"/>
              <w:rPr>
                <w:rFonts w:ascii="Times New Roman" w:hAnsi="Times New Roman" w:cs="Times New Roman"/>
                <w:bCs/>
                <w:sz w:val="21"/>
                <w:szCs w:val="21"/>
              </w:rPr>
            </w:pPr>
            <w:r w:rsidRPr="00E95566">
              <w:rPr>
                <w:rFonts w:ascii="Times New Roman" w:hAnsi="Times New Roman" w:cs="Times New Roman"/>
                <w:bCs/>
                <w:sz w:val="21"/>
                <w:szCs w:val="21"/>
              </w:rPr>
              <w:t>Se cuprind cheltuielile pentru achiziţionarea utilajelor şi echipamentelor tehnologice, precum şi a celor incluse în instalaţiile funcţionale.</w:t>
            </w:r>
          </w:p>
          <w:p w14:paraId="792A48C6"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Cheltuielile se desfăşoară pe obiecte de construcţie.</w:t>
            </w:r>
          </w:p>
        </w:tc>
      </w:tr>
      <w:tr w:rsidR="005443F3" w:rsidRPr="00E95566" w14:paraId="4537A05F" w14:textId="77777777" w:rsidTr="000E197E">
        <w:tc>
          <w:tcPr>
            <w:tcW w:w="404" w:type="pct"/>
            <w:shd w:val="clear" w:color="auto" w:fill="E7E6E6" w:themeFill="background2"/>
          </w:tcPr>
          <w:p w14:paraId="6074EE19"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00DF1572" w14:textId="77777777" w:rsidR="005443F3" w:rsidRPr="00E95566" w:rsidRDefault="005443F3" w:rsidP="00F613CE">
            <w:pPr>
              <w:rPr>
                <w:rFonts w:ascii="Times New Roman" w:hAnsi="Times New Roman" w:cs="Times New Roman"/>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09465A29"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180 - cheltuieli cu utilaje, echipamente tehnologice şi funcţionale care nu necesită montaj şi echipamente de transport</w:t>
            </w:r>
          </w:p>
        </w:tc>
        <w:tc>
          <w:tcPr>
            <w:tcW w:w="2775" w:type="pct"/>
          </w:tcPr>
          <w:p w14:paraId="6AFD7CA8"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Utilaje, echipamente tehnologice şi funcţionale care nu necesită montaj și echipamente de transport</w:t>
            </w:r>
          </w:p>
          <w:p w14:paraId="19A4335B" w14:textId="77777777" w:rsidR="005443F3" w:rsidRPr="00E95566" w:rsidRDefault="005443F3" w:rsidP="00F613CE">
            <w:pPr>
              <w:widowControl w:val="0"/>
              <w:autoSpaceDE w:val="0"/>
              <w:autoSpaceDN w:val="0"/>
              <w:adjustRightInd w:val="0"/>
              <w:rPr>
                <w:rFonts w:ascii="Times New Roman" w:hAnsi="Times New Roman" w:cs="Times New Roman"/>
                <w:bCs/>
                <w:sz w:val="21"/>
                <w:szCs w:val="21"/>
              </w:rPr>
            </w:pPr>
            <w:r w:rsidRPr="00E95566">
              <w:rPr>
                <w:rFonts w:ascii="Times New Roman" w:hAnsi="Times New Roman" w:cs="Times New Roman"/>
                <w:bCs/>
                <w:sz w:val="21"/>
                <w:szCs w:val="21"/>
              </w:rPr>
              <w:t>Se includ cheltuielile pentru achiziţionarea utilajelor şi echipamentelor care nu necesită montaj, precum şi a echipamentelor şi a echipamentelor de transport tehnologic.</w:t>
            </w:r>
          </w:p>
          <w:p w14:paraId="4B52DEBC"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Cheltuielile se desfăşoară pe obiecte de construcţie.</w:t>
            </w:r>
          </w:p>
        </w:tc>
      </w:tr>
      <w:tr w:rsidR="005443F3" w:rsidRPr="00E95566" w14:paraId="3F056BD9" w14:textId="77777777" w:rsidTr="000E197E">
        <w:tc>
          <w:tcPr>
            <w:tcW w:w="404" w:type="pct"/>
            <w:shd w:val="clear" w:color="auto" w:fill="E7E6E6" w:themeFill="background2"/>
          </w:tcPr>
          <w:p w14:paraId="021040B2"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448E9A85" w14:textId="77777777" w:rsidR="005443F3" w:rsidRPr="00E95566" w:rsidRDefault="005443F3" w:rsidP="00F613CE">
            <w:pPr>
              <w:rPr>
                <w:rFonts w:ascii="Times New Roman" w:hAnsi="Times New Roman" w:cs="Times New Roman"/>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2DCAC074" w14:textId="77777777" w:rsidR="005443F3" w:rsidRPr="00E95566" w:rsidRDefault="005443F3" w:rsidP="00F613CE">
            <w:pPr>
              <w:spacing w:before="100" w:beforeAutospacing="1" w:after="100" w:afterAutospacing="1"/>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55 - cheltuieli cu active necorporale</w:t>
            </w:r>
          </w:p>
        </w:tc>
        <w:tc>
          <w:tcPr>
            <w:tcW w:w="2775" w:type="pct"/>
          </w:tcPr>
          <w:p w14:paraId="5645EE57"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Active necorporale</w:t>
            </w:r>
          </w:p>
          <w:p w14:paraId="53D57564"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Se cuprind cheltuielile cu achiziţionarea activelor necorporale: drepturi referitoare la brevete, licenţe, know-how sau cunoştinţe tehnice nebrevetate.</w:t>
            </w:r>
          </w:p>
        </w:tc>
      </w:tr>
      <w:tr w:rsidR="005443F3" w:rsidRPr="00E95566" w14:paraId="10AD07B7" w14:textId="77777777" w:rsidTr="000E197E">
        <w:tc>
          <w:tcPr>
            <w:tcW w:w="404" w:type="pct"/>
            <w:shd w:val="clear" w:color="auto" w:fill="E7E6E6" w:themeFill="background2"/>
          </w:tcPr>
          <w:p w14:paraId="4E073A99"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065FE676"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15 - cheltuieli pentru investiția de bază</w:t>
            </w:r>
          </w:p>
        </w:tc>
        <w:tc>
          <w:tcPr>
            <w:tcW w:w="956" w:type="pct"/>
            <w:vAlign w:val="center"/>
          </w:tcPr>
          <w:p w14:paraId="2818FF68"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eastAsia="Times New Roman" w:hAnsi="Times New Roman" w:cs="Times New Roman"/>
                <w:color w:val="333333"/>
                <w:sz w:val="21"/>
                <w:szCs w:val="21"/>
              </w:rPr>
              <w:t>54 - cheltuieli cu dotările (utilaje,echipamente cu și fără montaj, dotări)</w:t>
            </w:r>
          </w:p>
        </w:tc>
        <w:tc>
          <w:tcPr>
            <w:tcW w:w="2775" w:type="pct"/>
          </w:tcPr>
          <w:p w14:paraId="620AF7A5"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Dotări</w:t>
            </w:r>
          </w:p>
          <w:p w14:paraId="59CB5DFD" w14:textId="77777777" w:rsidR="005443F3" w:rsidRPr="00E95566" w:rsidRDefault="005443F3" w:rsidP="00F613CE">
            <w:pPr>
              <w:widowControl w:val="0"/>
              <w:autoSpaceDE w:val="0"/>
              <w:autoSpaceDN w:val="0"/>
              <w:adjustRightInd w:val="0"/>
              <w:rPr>
                <w:rFonts w:ascii="Times New Roman" w:hAnsi="Times New Roman" w:cs="Times New Roman"/>
                <w:bCs/>
                <w:sz w:val="21"/>
                <w:szCs w:val="21"/>
              </w:rPr>
            </w:pPr>
            <w:r w:rsidRPr="00E95566">
              <w:rPr>
                <w:rFonts w:ascii="Times New Roman" w:hAnsi="Times New Roman" w:cs="Times New Roman"/>
                <w:bCs/>
                <w:sz w:val="21"/>
                <w:szCs w:val="21"/>
              </w:rPr>
              <w:t>Se cuprind cheltuielile pentru procurarea de bunuri care, conform legii, intră în categoria mijloacelor fixe sau obiecte de inventar, precum: mobilier, dotări P.S.I., dotări de uz gospodăresc, dotări privind protecţia muncii.</w:t>
            </w:r>
          </w:p>
          <w:p w14:paraId="69E1A613"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Cheltuielile se desfăşoară pe obiecte de construcţie.</w:t>
            </w:r>
          </w:p>
        </w:tc>
      </w:tr>
      <w:tr w:rsidR="005443F3" w:rsidRPr="00E95566" w14:paraId="4CD8B30E" w14:textId="77777777" w:rsidTr="000E197E">
        <w:tc>
          <w:tcPr>
            <w:tcW w:w="404" w:type="pct"/>
            <w:shd w:val="clear" w:color="auto" w:fill="E7E6E6" w:themeFill="background2"/>
          </w:tcPr>
          <w:p w14:paraId="590D9EAB"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7A8CDFE2"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16 - cheltuieli cu organizarea de șantier</w:t>
            </w:r>
          </w:p>
        </w:tc>
        <w:tc>
          <w:tcPr>
            <w:tcW w:w="956" w:type="pct"/>
            <w:vAlign w:val="center"/>
          </w:tcPr>
          <w:p w14:paraId="0975D22C"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57 - cheltuieli pentru lucrări de construcții și instalații aferente organizării de șantier</w:t>
            </w:r>
          </w:p>
        </w:tc>
        <w:tc>
          <w:tcPr>
            <w:tcW w:w="2775" w:type="pct"/>
          </w:tcPr>
          <w:p w14:paraId="080C9936"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Lucrări de construcţii și instalații aferente organizării de șantier</w:t>
            </w:r>
          </w:p>
          <w:p w14:paraId="665E5B12"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sz w:val="21"/>
                <w:szCs w:val="21"/>
              </w:rPr>
              <w:t>Cuprinde cheltuieli aferente realizării unor construcţii provizorii sau amenajări în construcţii existente, precum şi cheltuieli de desfiinţare a organizării de şantier: vestiare/barăci/spaţii de lucru pentru personalul din şantier; platforme tehnologice/dezafectarea platformelor tehnologice; grupuri sanitare; rampe de spălare auto;</w:t>
            </w:r>
            <w:r w:rsidRPr="00E95566">
              <w:rPr>
                <w:rStyle w:val="apple-converted-space"/>
                <w:rFonts w:ascii="Times New Roman" w:hAnsi="Times New Roman" w:cs="Times New Roman"/>
                <w:sz w:val="21"/>
                <w:szCs w:val="21"/>
              </w:rPr>
              <w:t xml:space="preserve"> </w:t>
            </w:r>
            <w:r w:rsidRPr="00E95566">
              <w:rPr>
                <w:rFonts w:ascii="Times New Roman" w:hAnsi="Times New Roman" w:cs="Times New Roman"/>
                <w:sz w:val="21"/>
                <w:szCs w:val="21"/>
              </w:rPr>
              <w:t>depozite pentru materiale;</w:t>
            </w:r>
            <w:r w:rsidRPr="00E95566">
              <w:rPr>
                <w:rFonts w:ascii="Times New Roman" w:eastAsia="Arial" w:hAnsi="Times New Roman" w:cs="Times New Roman"/>
                <w:sz w:val="21"/>
                <w:szCs w:val="21"/>
              </w:rPr>
              <w:t xml:space="preserve"> </w:t>
            </w:r>
            <w:r w:rsidRPr="00E95566">
              <w:rPr>
                <w:rFonts w:ascii="Times New Roman" w:hAnsi="Times New Roman" w:cs="Times New Roman"/>
                <w:sz w:val="21"/>
                <w:szCs w:val="21"/>
              </w:rPr>
              <w:t>fundaţii pentru macarale; reţele electrice de iluminat şi forţă; căi de acces auto şi căi ferate; branşamente/racorduri la utilităţi;</w:t>
            </w:r>
            <w:r w:rsidRPr="00E95566">
              <w:rPr>
                <w:rStyle w:val="apple-converted-space"/>
                <w:rFonts w:ascii="Times New Roman" w:hAnsi="Times New Roman" w:cs="Times New Roman"/>
                <w:sz w:val="21"/>
                <w:szCs w:val="21"/>
              </w:rPr>
              <w:t xml:space="preserve"> </w:t>
            </w:r>
            <w:r w:rsidRPr="00E95566">
              <w:rPr>
                <w:rFonts w:ascii="Times New Roman" w:hAnsi="Times New Roman" w:cs="Times New Roman"/>
                <w:sz w:val="21"/>
                <w:szCs w:val="21"/>
              </w:rPr>
              <w:t>împrejmuiri; panouri de prezentare; pichete de incendiu;</w:t>
            </w:r>
            <w:r w:rsidRPr="00E95566">
              <w:rPr>
                <w:rFonts w:ascii="Times New Roman" w:hAnsi="Times New Roman" w:cs="Times New Roman"/>
                <w:sz w:val="21"/>
                <w:szCs w:val="21"/>
                <w:shd w:val="clear" w:color="auto" w:fill="FFFFFF"/>
              </w:rPr>
              <w:t xml:space="preserve">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r>
      <w:tr w:rsidR="005443F3" w:rsidRPr="00E95566" w14:paraId="1E3B3587" w14:textId="77777777" w:rsidTr="000E197E">
        <w:tc>
          <w:tcPr>
            <w:tcW w:w="404" w:type="pct"/>
            <w:shd w:val="clear" w:color="auto" w:fill="E7E6E6" w:themeFill="background2"/>
          </w:tcPr>
          <w:p w14:paraId="305A010B"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07E6DE7D"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16 - cheltuieli cu organizarea de șantier</w:t>
            </w:r>
          </w:p>
        </w:tc>
        <w:tc>
          <w:tcPr>
            <w:tcW w:w="956" w:type="pct"/>
            <w:vAlign w:val="center"/>
          </w:tcPr>
          <w:p w14:paraId="3EF20C92"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58 - cheltuieli conexe organizării de șantier</w:t>
            </w:r>
          </w:p>
        </w:tc>
        <w:tc>
          <w:tcPr>
            <w:tcW w:w="2775" w:type="pct"/>
          </w:tcPr>
          <w:p w14:paraId="66D9087D" w14:textId="77777777" w:rsidR="005443F3" w:rsidRPr="00E95566" w:rsidRDefault="005443F3" w:rsidP="002E0454">
            <w:pPr>
              <w:numPr>
                <w:ilvl w:val="0"/>
                <w:numId w:val="156"/>
              </w:numPr>
              <w:jc w:val="both"/>
              <w:rPr>
                <w:rFonts w:ascii="Times New Roman" w:hAnsi="Times New Roman" w:cs="Times New Roman"/>
                <w:color w:val="222A35" w:themeColor="text2" w:themeShade="80"/>
                <w:sz w:val="21"/>
                <w:szCs w:val="21"/>
              </w:rPr>
            </w:pPr>
            <w:r w:rsidRPr="00E95566">
              <w:rPr>
                <w:rFonts w:ascii="Times New Roman" w:hAnsi="Times New Roman" w:cs="Times New Roman"/>
                <w:bCs/>
                <w:sz w:val="21"/>
                <w:szCs w:val="21"/>
              </w:rPr>
              <w:t>Cheltuieli conexe organizării de şantier</w:t>
            </w:r>
          </w:p>
          <w:p w14:paraId="2F27A03E" w14:textId="77777777" w:rsidR="005443F3" w:rsidRPr="00E95566" w:rsidRDefault="005443F3" w:rsidP="00F613CE">
            <w:pPr>
              <w:jc w:val="both"/>
              <w:rPr>
                <w:rFonts w:ascii="Times New Roman" w:hAnsi="Times New Roman" w:cs="Times New Roman"/>
                <w:color w:val="222A35" w:themeColor="text2" w:themeShade="80"/>
                <w:sz w:val="21"/>
                <w:szCs w:val="21"/>
              </w:rPr>
            </w:pPr>
            <w:r w:rsidRPr="00E95566">
              <w:rPr>
                <w:rFonts w:ascii="Times New Roman" w:hAnsi="Times New Roman" w:cs="Times New Roman"/>
                <w:sz w:val="21"/>
                <w:szCs w:val="21"/>
              </w:rPr>
              <w:t>Cuprinde cheltuielile pentru: obţinerea autorizaţiei de construire/desfiinţare aferente lucrărilor de organizare de şantier; taxe de amplasament; închirieri semne de circulaţie; întreruperea temporară a reţelelor de transport sau distribuţie de apă, canalizare, agent termic, energie electrică, gaze naturale, a circulaţiei rutiere, feroviare, navale sau aeriene; contractele de asistenţă cu poliţia rutieră; contracte temporare cu furnizorul de energie electrică, cu furnizorul de apă şi cu unităţi de salubrizare; taxe depozit ecologic; taxe locale; chirii pentru ocuparea temporară a domeniului public;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 costul energiei electrice şi al apei consumate în incinta organizării de şantier pe durata de execuţie a lucrărilor; costul transportului muncitorilor nelocalnici şi/sau cazarea acestora; paza şantierului; asigurarea pompierului autorizat; cheltuieli privind asigurarea securităţii şi sănătăţii în timpul execuţiei lucrărilor pe şantier.</w:t>
            </w:r>
          </w:p>
        </w:tc>
      </w:tr>
      <w:tr w:rsidR="005443F3" w:rsidRPr="00E95566" w14:paraId="48A414F8" w14:textId="77777777" w:rsidTr="000E197E">
        <w:tc>
          <w:tcPr>
            <w:tcW w:w="404" w:type="pct"/>
            <w:shd w:val="clear" w:color="auto" w:fill="E7E6E6" w:themeFill="background2"/>
          </w:tcPr>
          <w:p w14:paraId="60814F10"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5BC2FC8A"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17 - cheltuieli pentru comisioane, cote, taxe</w:t>
            </w:r>
          </w:p>
        </w:tc>
        <w:tc>
          <w:tcPr>
            <w:tcW w:w="956" w:type="pct"/>
            <w:vAlign w:val="center"/>
          </w:tcPr>
          <w:p w14:paraId="625F3144"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59 - cheltuieli pentru comisioane, cote, taxe</w:t>
            </w:r>
          </w:p>
        </w:tc>
        <w:tc>
          <w:tcPr>
            <w:tcW w:w="2775" w:type="pct"/>
          </w:tcPr>
          <w:p w14:paraId="78F1F68F"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hAnsi="Times New Roman" w:cs="Times New Roman"/>
                <w:sz w:val="21"/>
                <w:szCs w:val="21"/>
                <w:shd w:val="clear" w:color="auto" w:fill="FFFFFF"/>
              </w:rPr>
              <w:t>Comisioane, cote, taxe</w:t>
            </w:r>
          </w:p>
          <w:p w14:paraId="758CCBA0"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Cota aferentă Inspectoratului de Stat în Construcţii, calculată potrivit prevederilor Legii </w:t>
            </w:r>
            <w:hyperlink r:id="rId8" w:tgtFrame="_blank" w:history="1">
              <w:r w:rsidRPr="00E95566">
                <w:rPr>
                  <w:rFonts w:ascii="Times New Roman" w:hAnsi="Times New Roman" w:cs="Times New Roman"/>
                  <w:sz w:val="21"/>
                  <w:szCs w:val="21"/>
                </w:rPr>
                <w:t>nr. 10/1995</w:t>
              </w:r>
            </w:hyperlink>
            <w:r w:rsidRPr="00E95566">
              <w:rPr>
                <w:rFonts w:ascii="Times New Roman" w:hAnsi="Times New Roman" w:cs="Times New Roman"/>
                <w:sz w:val="21"/>
                <w:szCs w:val="21"/>
                <w:shd w:val="clear" w:color="auto" w:fill="FFFFFF"/>
              </w:rPr>
              <w:t> privind calitatea în construcţii, republicată;</w:t>
            </w:r>
          </w:p>
          <w:p w14:paraId="356CA6BF"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Cota aferentă Inspectoratului de Stat în Construcţii, calculată potrivit prevederilor Legii </w:t>
            </w:r>
            <w:hyperlink r:id="rId9" w:tgtFrame="_blank" w:history="1">
              <w:r w:rsidRPr="00E95566">
                <w:rPr>
                  <w:rFonts w:ascii="Times New Roman" w:hAnsi="Times New Roman" w:cs="Times New Roman"/>
                  <w:sz w:val="21"/>
                  <w:szCs w:val="21"/>
                </w:rPr>
                <w:t>nr. 50/1991</w:t>
              </w:r>
            </w:hyperlink>
            <w:r w:rsidRPr="00E95566">
              <w:rPr>
                <w:rFonts w:ascii="Times New Roman" w:hAnsi="Times New Roman" w:cs="Times New Roman"/>
                <w:sz w:val="21"/>
                <w:szCs w:val="21"/>
                <w:shd w:val="clear" w:color="auto" w:fill="FFFFFF"/>
              </w:rPr>
              <w:t> privind autorizarea executării lucrărilor de construcţii, republicată, cu modificările şi completările ulterioare;</w:t>
            </w:r>
          </w:p>
          <w:p w14:paraId="2445BD56"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Cota aferentă Casei Sociale a Constructorilor - CSC, în aplicarea prevederilor Legii </w:t>
            </w:r>
            <w:hyperlink r:id="rId10" w:tgtFrame="_blank" w:history="1">
              <w:r w:rsidRPr="00E95566">
                <w:rPr>
                  <w:rFonts w:ascii="Times New Roman" w:hAnsi="Times New Roman" w:cs="Times New Roman"/>
                  <w:sz w:val="21"/>
                  <w:szCs w:val="21"/>
                </w:rPr>
                <w:t>nr. 215/1997</w:t>
              </w:r>
            </w:hyperlink>
            <w:r w:rsidRPr="00E95566">
              <w:rPr>
                <w:rFonts w:ascii="Times New Roman" w:hAnsi="Times New Roman" w:cs="Times New Roman"/>
                <w:sz w:val="21"/>
                <w:szCs w:val="21"/>
                <w:shd w:val="clear" w:color="auto" w:fill="FFFFFF"/>
              </w:rPr>
              <w:t> privind Casa Socială a Constructorilor.</w:t>
            </w:r>
          </w:p>
          <w:p w14:paraId="227D5ED1"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Taxe pentru acorduri, avize conforme şi autorizaţia de construire/desfiinţare.</w:t>
            </w:r>
          </w:p>
          <w:p w14:paraId="3EAB31D9"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bCs/>
                <w:sz w:val="21"/>
                <w:szCs w:val="21"/>
                <w:shd w:val="clear" w:color="auto" w:fill="FFFFFF"/>
              </w:rPr>
              <w:t>Alte taxe.</w:t>
            </w:r>
          </w:p>
        </w:tc>
      </w:tr>
      <w:tr w:rsidR="005443F3" w:rsidRPr="00E95566" w14:paraId="06A07B06" w14:textId="77777777" w:rsidTr="000E197E">
        <w:tc>
          <w:tcPr>
            <w:tcW w:w="404" w:type="pct"/>
            <w:shd w:val="clear" w:color="auto" w:fill="E7E6E6" w:themeFill="background2"/>
          </w:tcPr>
          <w:p w14:paraId="59C53E57"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7EF57E0C"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18 - cheltuieli diverse și neprevăzute</w:t>
            </w:r>
          </w:p>
        </w:tc>
        <w:tc>
          <w:tcPr>
            <w:tcW w:w="956" w:type="pct"/>
            <w:vAlign w:val="center"/>
          </w:tcPr>
          <w:p w14:paraId="2AF18886"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60 - cheltuieli diverse și neprevăzute</w:t>
            </w:r>
          </w:p>
        </w:tc>
        <w:tc>
          <w:tcPr>
            <w:tcW w:w="2775" w:type="pct"/>
          </w:tcPr>
          <w:p w14:paraId="0F0F4164"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eastAsia="Times New Roman" w:hAnsi="Times New Roman" w:cs="Times New Roman"/>
                <w:color w:val="333333"/>
                <w:sz w:val="21"/>
                <w:szCs w:val="21"/>
              </w:rPr>
              <w:t>Cheltuieli diverse şi neprevăzute</w:t>
            </w:r>
          </w:p>
          <w:p w14:paraId="574C6275" w14:textId="77777777" w:rsidR="005443F3" w:rsidRPr="00E95566" w:rsidRDefault="005443F3" w:rsidP="00F613CE">
            <w:pPr>
              <w:pStyle w:val="al"/>
              <w:shd w:val="clear" w:color="auto" w:fill="FFFFFF"/>
              <w:spacing w:before="0" w:beforeAutospacing="0" w:after="0" w:afterAutospacing="0"/>
              <w:jc w:val="both"/>
              <w:rPr>
                <w:sz w:val="21"/>
                <w:szCs w:val="21"/>
              </w:rPr>
            </w:pPr>
            <w:r w:rsidRPr="00E95566">
              <w:rPr>
                <w:sz w:val="21"/>
                <w:szCs w:val="21"/>
              </w:rPr>
              <w:t>Cheltuielile diverse şi neprevăzute vor fi folosite în conformitate cu legislaţia în domeniul achiziţiilor publice ce face referire la modificările contractuale apărute în timpul execuţiei.</w:t>
            </w:r>
          </w:p>
          <w:p w14:paraId="286A0722"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sz w:val="21"/>
                <w:szCs w:val="21"/>
              </w:rPr>
              <w:t>Cheltuielile diverse şi neprevăzute se estimează procentual, din valoarea cheltuielilor prevăzute la cap./subcap. 1.2, 1.3, 2, 3.5, 3.8, 4 ale devizului general, astfel: 10% în cazul executării unui obiectiv/obiect nou de investiţii;20% în cazul executării lucrărilor de intervenţiei la construcţie existentă.</w:t>
            </w:r>
          </w:p>
        </w:tc>
      </w:tr>
      <w:tr w:rsidR="005443F3" w:rsidRPr="00E95566" w14:paraId="5C580D4B" w14:textId="77777777" w:rsidTr="000E197E">
        <w:tc>
          <w:tcPr>
            <w:tcW w:w="404" w:type="pct"/>
            <w:shd w:val="clear" w:color="auto" w:fill="E7E6E6" w:themeFill="background2"/>
          </w:tcPr>
          <w:p w14:paraId="559C3639"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64D90684"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8 - cheltuieli de informare, comunicare și publicitate</w:t>
            </w:r>
          </w:p>
        </w:tc>
        <w:tc>
          <w:tcPr>
            <w:tcW w:w="956" w:type="pct"/>
            <w:vAlign w:val="center"/>
          </w:tcPr>
          <w:p w14:paraId="74DBDFAD"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17 - cheltuieli de informare și publicitate pentru proiect, care rezultă din obligațiile beneficiarului</w:t>
            </w:r>
          </w:p>
        </w:tc>
        <w:tc>
          <w:tcPr>
            <w:tcW w:w="2775" w:type="pct"/>
          </w:tcPr>
          <w:p w14:paraId="3220D501"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eastAsia="Times New Roman" w:hAnsi="Times New Roman" w:cs="Times New Roman"/>
                <w:color w:val="333333"/>
                <w:sz w:val="21"/>
                <w:szCs w:val="21"/>
              </w:rPr>
              <w:t>Cheltuieli pentru informare şi publicitate</w:t>
            </w:r>
          </w:p>
          <w:p w14:paraId="3098433B"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sz w:val="21"/>
                <w:szCs w:val="21"/>
              </w:rPr>
              <w:t>Cuprinde cheltuielile pentru publicitate şi informare, inclusiv pentru diseminarea informaţiilor de interes public</w:t>
            </w:r>
          </w:p>
        </w:tc>
      </w:tr>
      <w:tr w:rsidR="005443F3" w:rsidRPr="00E95566" w14:paraId="15D0B700" w14:textId="77777777" w:rsidTr="000E197E">
        <w:tc>
          <w:tcPr>
            <w:tcW w:w="404" w:type="pct"/>
            <w:shd w:val="clear" w:color="auto" w:fill="E7E6E6" w:themeFill="background2"/>
          </w:tcPr>
          <w:p w14:paraId="3902CE70"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3BB67083"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19 - cheltuieli pentru probe tehnologice și teste și predare la beneficiar</w:t>
            </w:r>
          </w:p>
        </w:tc>
        <w:tc>
          <w:tcPr>
            <w:tcW w:w="956" w:type="pct"/>
            <w:vAlign w:val="center"/>
          </w:tcPr>
          <w:p w14:paraId="6107128D"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61 - cheltuieli pentru pregătirea personalului de exploatare</w:t>
            </w:r>
          </w:p>
        </w:tc>
        <w:tc>
          <w:tcPr>
            <w:tcW w:w="2775" w:type="pct"/>
          </w:tcPr>
          <w:p w14:paraId="675F9791"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hAnsi="Times New Roman" w:cs="Times New Roman"/>
                <w:b/>
                <w:sz w:val="21"/>
                <w:szCs w:val="21"/>
                <w:shd w:val="clear" w:color="auto" w:fill="FFFFFF"/>
              </w:rPr>
              <w:t>Cheltuieli pentru probe tehnologice şi teste</w:t>
            </w:r>
          </w:p>
          <w:p w14:paraId="5946888A"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Pregătirea personalului de exploatare</w:t>
            </w:r>
          </w:p>
          <w:p w14:paraId="01F1016F"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sz w:val="21"/>
                <w:szCs w:val="21"/>
                <w:shd w:val="clear" w:color="auto" w:fill="FFFFFF"/>
              </w:rPr>
              <w:t>Cuprinde cheltuielile necesare instruirii/şcolarizării personalului în vederea utilizării corecte şi eficiente a utilajelor şi tehnologiilor.</w:t>
            </w:r>
          </w:p>
        </w:tc>
      </w:tr>
      <w:tr w:rsidR="005443F3" w:rsidRPr="00E95566" w14:paraId="79505970" w14:textId="77777777" w:rsidTr="000E197E">
        <w:tc>
          <w:tcPr>
            <w:tcW w:w="404" w:type="pct"/>
            <w:shd w:val="clear" w:color="auto" w:fill="E7E6E6" w:themeFill="background2"/>
          </w:tcPr>
          <w:p w14:paraId="03092CE9"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120C89B7"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19 - cheltuieli pentru probe tehnologice și teste și predare la beneficiar</w:t>
            </w:r>
          </w:p>
        </w:tc>
        <w:tc>
          <w:tcPr>
            <w:tcW w:w="956" w:type="pct"/>
            <w:vAlign w:val="center"/>
          </w:tcPr>
          <w:p w14:paraId="060BE543"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62 - cheltuieli pentru probe tehnologice și teste</w:t>
            </w:r>
          </w:p>
        </w:tc>
        <w:tc>
          <w:tcPr>
            <w:tcW w:w="2775" w:type="pct"/>
          </w:tcPr>
          <w:p w14:paraId="1166F32A"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hAnsi="Times New Roman" w:cs="Times New Roman"/>
                <w:b/>
                <w:sz w:val="21"/>
                <w:szCs w:val="21"/>
                <w:shd w:val="clear" w:color="auto" w:fill="FFFFFF"/>
              </w:rPr>
              <w:t>Cheltuieli pentru probe tehnologice şi teste</w:t>
            </w:r>
          </w:p>
          <w:p w14:paraId="358B5219" w14:textId="77777777" w:rsidR="005443F3" w:rsidRPr="00E95566" w:rsidRDefault="005443F3" w:rsidP="00F613CE">
            <w:pPr>
              <w:jc w:val="both"/>
              <w:rPr>
                <w:rFonts w:ascii="Times New Roman" w:hAnsi="Times New Roman" w:cs="Times New Roman"/>
                <w:sz w:val="21"/>
                <w:szCs w:val="21"/>
                <w:shd w:val="clear" w:color="auto" w:fill="FFFFFF"/>
              </w:rPr>
            </w:pPr>
            <w:r w:rsidRPr="00E95566">
              <w:rPr>
                <w:rFonts w:ascii="Times New Roman" w:hAnsi="Times New Roman" w:cs="Times New Roman"/>
                <w:sz w:val="21"/>
                <w:szCs w:val="21"/>
                <w:shd w:val="clear" w:color="auto" w:fill="FFFFFF"/>
              </w:rPr>
              <w:t>Probe tehnologice şi teste</w:t>
            </w:r>
          </w:p>
          <w:p w14:paraId="3CD959A1"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sz w:val="21"/>
                <w:szCs w:val="21"/>
              </w:rPr>
              <w:t>Cuprinde cheltuielile aferente execuţiei probelor/încercărilor, prevăzute în proiect, rodajelor, expertizelor la recepţie, omologărilor.În situaţia în care se obţin venituri ca urmare a probelor tehnologice, în devizul general se înscrie valoarea rezultată prin diferenţa dintre cheltuielile realizate pentru efectuarea probelor şi veniturile realizate din acestea.</w:t>
            </w:r>
          </w:p>
        </w:tc>
      </w:tr>
      <w:tr w:rsidR="005443F3" w:rsidRPr="00E95566" w14:paraId="1748AE59" w14:textId="77777777" w:rsidTr="000E197E">
        <w:tc>
          <w:tcPr>
            <w:tcW w:w="404" w:type="pct"/>
            <w:shd w:val="clear" w:color="auto" w:fill="E7E6E6" w:themeFill="background2"/>
          </w:tcPr>
          <w:p w14:paraId="1A8429BB"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5B41B124"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2 - cheltuieli cu amortizarea</w:t>
            </w:r>
          </w:p>
        </w:tc>
        <w:tc>
          <w:tcPr>
            <w:tcW w:w="956" w:type="pct"/>
            <w:vAlign w:val="center"/>
          </w:tcPr>
          <w:p w14:paraId="0235937D"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2 - cheltuieli cu amortizarea</w:t>
            </w:r>
          </w:p>
        </w:tc>
        <w:tc>
          <w:tcPr>
            <w:tcW w:w="2775" w:type="pct"/>
          </w:tcPr>
          <w:p w14:paraId="5C67DAFB"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hAnsi="Times New Roman" w:cs="Times New Roman"/>
                <w:bCs/>
                <w:sz w:val="21"/>
                <w:szCs w:val="21"/>
              </w:rPr>
              <w:t>Cheltuieli cu amortizarea</w:t>
            </w:r>
          </w:p>
        </w:tc>
      </w:tr>
      <w:tr w:rsidR="005443F3" w:rsidRPr="00E95566" w14:paraId="08C1F114" w14:textId="77777777" w:rsidTr="000E197E">
        <w:tc>
          <w:tcPr>
            <w:tcW w:w="404" w:type="pct"/>
            <w:shd w:val="clear" w:color="auto" w:fill="E7E6E6" w:themeFill="background2"/>
          </w:tcPr>
          <w:p w14:paraId="5A554AAC"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151E871F"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4 - cheltuieli de leasing</w:t>
            </w:r>
          </w:p>
        </w:tc>
        <w:tc>
          <w:tcPr>
            <w:tcW w:w="956" w:type="pct"/>
            <w:vAlign w:val="center"/>
          </w:tcPr>
          <w:p w14:paraId="4F32738C"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7 - cheltuieli de leasing cu achiziție</w:t>
            </w:r>
          </w:p>
        </w:tc>
        <w:tc>
          <w:tcPr>
            <w:tcW w:w="2775" w:type="pct"/>
          </w:tcPr>
          <w:p w14:paraId="5D87A00B" w14:textId="77777777" w:rsidR="005443F3" w:rsidRPr="00E95566" w:rsidRDefault="005443F3" w:rsidP="002E0454">
            <w:pPr>
              <w:numPr>
                <w:ilvl w:val="0"/>
                <w:numId w:val="156"/>
              </w:numPr>
              <w:jc w:val="both"/>
              <w:rPr>
                <w:rFonts w:ascii="Times New Roman" w:hAnsi="Times New Roman" w:cs="Times New Roman"/>
                <w:bCs/>
                <w:sz w:val="21"/>
                <w:szCs w:val="21"/>
              </w:rPr>
            </w:pPr>
            <w:r w:rsidRPr="00E95566">
              <w:rPr>
                <w:rFonts w:ascii="Times New Roman" w:eastAsia="Times New Roman" w:hAnsi="Times New Roman" w:cs="Times New Roman"/>
                <w:b/>
                <w:bCs/>
                <w:color w:val="333333"/>
                <w:sz w:val="21"/>
                <w:szCs w:val="21"/>
              </w:rPr>
              <w:t>Cheltuieli cu leasing-ul</w:t>
            </w:r>
          </w:p>
          <w:p w14:paraId="3713AC33" w14:textId="77777777" w:rsidR="005443F3" w:rsidRPr="00E95566" w:rsidRDefault="005443F3" w:rsidP="00F613CE">
            <w:pPr>
              <w:jc w:val="both"/>
              <w:rPr>
                <w:rFonts w:ascii="Times New Roman" w:hAnsi="Times New Roman" w:cs="Times New Roman"/>
                <w:bCs/>
                <w:sz w:val="21"/>
                <w:szCs w:val="21"/>
              </w:rPr>
            </w:pPr>
            <w:r w:rsidRPr="00E95566">
              <w:rPr>
                <w:rFonts w:ascii="Times New Roman" w:hAnsi="Times New Roman" w:cs="Times New Roman"/>
                <w:sz w:val="21"/>
                <w:szCs w:val="21"/>
              </w:rPr>
              <w:t>Se includ cheltuielile privind plata ratelor de leasing aferente terenurilor și contrucțiilor, echipamentelor și utilajelor aferente investiției de bază.</w:t>
            </w:r>
          </w:p>
        </w:tc>
      </w:tr>
      <w:tr w:rsidR="005443F3" w:rsidRPr="00E95566" w14:paraId="7EF9C845" w14:textId="77777777" w:rsidTr="000E197E">
        <w:tc>
          <w:tcPr>
            <w:tcW w:w="404" w:type="pct"/>
            <w:shd w:val="clear" w:color="auto" w:fill="E7E6E6" w:themeFill="background2"/>
          </w:tcPr>
          <w:p w14:paraId="134A49DC"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24003C3D"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hAnsi="Times New Roman" w:cs="Times New Roman"/>
                <w:color w:val="4F4F4F"/>
                <w:sz w:val="21"/>
                <w:szCs w:val="21"/>
                <w:shd w:val="clear" w:color="auto" w:fill="F5F5F5"/>
              </w:rPr>
              <w:t>25 - cheltuieli salariale</w:t>
            </w:r>
          </w:p>
        </w:tc>
        <w:tc>
          <w:tcPr>
            <w:tcW w:w="956" w:type="pct"/>
            <w:vAlign w:val="center"/>
          </w:tcPr>
          <w:p w14:paraId="3813B64B" w14:textId="77777777" w:rsidR="005443F3" w:rsidRPr="00E95566" w:rsidRDefault="005443F3" w:rsidP="00F613CE">
            <w:pPr>
              <w:jc w:val="both"/>
              <w:rPr>
                <w:rFonts w:ascii="Times New Roman" w:eastAsia="Times New Roman" w:hAnsi="Times New Roman" w:cs="Times New Roman"/>
                <w:color w:val="333333"/>
                <w:sz w:val="21"/>
                <w:szCs w:val="21"/>
              </w:rPr>
            </w:pPr>
            <w:r w:rsidRPr="00E95566">
              <w:rPr>
                <w:rFonts w:ascii="Times New Roman" w:hAnsi="Times New Roman" w:cs="Times New Roman"/>
                <w:color w:val="4F4F4F"/>
                <w:sz w:val="21"/>
                <w:szCs w:val="21"/>
                <w:shd w:val="clear" w:color="auto" w:fill="F5F5F5"/>
              </w:rPr>
              <w:t xml:space="preserve">195 - Cheltuieli salariale POPAM </w:t>
            </w:r>
            <w:r w:rsidRPr="00E95566">
              <w:rPr>
                <w:rFonts w:ascii="Times New Roman" w:hAnsi="Times New Roman" w:cs="Times New Roman"/>
                <w:color w:val="4F4F4F"/>
                <w:sz w:val="21"/>
                <w:szCs w:val="21"/>
                <w:shd w:val="clear" w:color="auto" w:fill="F5F5F5"/>
              </w:rPr>
              <w:lastRenderedPageBreak/>
              <w:t>cu echipa de implementare</w:t>
            </w:r>
          </w:p>
        </w:tc>
        <w:tc>
          <w:tcPr>
            <w:tcW w:w="2775" w:type="pct"/>
          </w:tcPr>
          <w:p w14:paraId="674535AF" w14:textId="77777777" w:rsidR="005443F3" w:rsidRPr="00E95566" w:rsidRDefault="005443F3" w:rsidP="002E0454">
            <w:pPr>
              <w:numPr>
                <w:ilvl w:val="0"/>
                <w:numId w:val="156"/>
              </w:numPr>
              <w:jc w:val="both"/>
              <w:rPr>
                <w:rFonts w:ascii="Times New Roman" w:eastAsia="Times New Roman" w:hAnsi="Times New Roman" w:cs="Times New Roman"/>
                <w:b/>
                <w:bCs/>
                <w:color w:val="333333"/>
                <w:sz w:val="21"/>
                <w:szCs w:val="21"/>
              </w:rPr>
            </w:pPr>
            <w:r w:rsidRPr="00E95566">
              <w:rPr>
                <w:rFonts w:ascii="Times New Roman" w:hAnsi="Times New Roman" w:cs="Times New Roman"/>
                <w:b/>
                <w:bCs/>
                <w:sz w:val="21"/>
                <w:szCs w:val="21"/>
              </w:rPr>
              <w:lastRenderedPageBreak/>
              <w:t>Cheltuieli cu echipa de implementare</w:t>
            </w:r>
          </w:p>
          <w:p w14:paraId="65295DA1" w14:textId="77777777" w:rsidR="005443F3" w:rsidRPr="00E95566" w:rsidRDefault="005443F3" w:rsidP="00F613CE">
            <w:pPr>
              <w:jc w:val="both"/>
              <w:rPr>
                <w:rFonts w:ascii="Times New Roman" w:eastAsia="Times New Roman" w:hAnsi="Times New Roman" w:cs="Times New Roman"/>
                <w:b/>
                <w:bCs/>
                <w:color w:val="333333"/>
                <w:sz w:val="21"/>
                <w:szCs w:val="21"/>
              </w:rPr>
            </w:pPr>
            <w:r w:rsidRPr="00E95566">
              <w:rPr>
                <w:rFonts w:ascii="Times New Roman" w:hAnsi="Times New Roman" w:cs="Times New Roman"/>
                <w:bCs/>
                <w:sz w:val="21"/>
                <w:szCs w:val="21"/>
              </w:rPr>
              <w:lastRenderedPageBreak/>
              <w:t>Se includ cheltuielile privind plata drepturilor salariale inclusiv contribuţiile suportate de  către angajator şi angajat pentru personalul din cadrul echipei de implementare a operaţiunii, respectiv un manager de proiect, un contabil şi specialist în acvacultură, efectuate de beneficiar în cadrul şi exclusiv pe durata implementării operaţiunii</w:t>
            </w:r>
          </w:p>
        </w:tc>
      </w:tr>
      <w:tr w:rsidR="005443F3" w:rsidRPr="00E95566" w14:paraId="26E8E5A5" w14:textId="77777777" w:rsidTr="000E197E">
        <w:tc>
          <w:tcPr>
            <w:tcW w:w="404" w:type="pct"/>
            <w:shd w:val="clear" w:color="auto" w:fill="E7E6E6" w:themeFill="background2"/>
          </w:tcPr>
          <w:p w14:paraId="4F84F6A7"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3AF73A9D" w14:textId="77777777" w:rsidR="005443F3" w:rsidRPr="00E95566" w:rsidRDefault="005443F3" w:rsidP="00F613CE">
            <w:pPr>
              <w:rPr>
                <w:rFonts w:ascii="Times New Roman" w:hAnsi="Times New Roman" w:cs="Times New Roman"/>
                <w:color w:val="4F4F4F"/>
                <w:sz w:val="21"/>
                <w:szCs w:val="21"/>
                <w:shd w:val="clear" w:color="auto" w:fill="F5F5F5"/>
              </w:rPr>
            </w:pPr>
            <w:r w:rsidRPr="00E95566">
              <w:rPr>
                <w:rFonts w:ascii="Times New Roman" w:hAnsi="Times New Roman" w:cs="Times New Roman"/>
                <w:color w:val="4F4F4F"/>
                <w:sz w:val="21"/>
                <w:szCs w:val="21"/>
                <w:shd w:val="clear" w:color="auto" w:fill="F2F5F9"/>
              </w:rPr>
              <w:t>17 - cheltuieli pentru comisioane, cote, taxe</w:t>
            </w:r>
          </w:p>
        </w:tc>
        <w:tc>
          <w:tcPr>
            <w:tcW w:w="956" w:type="pct"/>
            <w:vAlign w:val="center"/>
          </w:tcPr>
          <w:p w14:paraId="399059A0" w14:textId="77777777" w:rsidR="005443F3" w:rsidRPr="00E95566" w:rsidRDefault="005443F3" w:rsidP="00F613CE">
            <w:pPr>
              <w:jc w:val="both"/>
              <w:rPr>
                <w:rFonts w:ascii="Times New Roman" w:hAnsi="Times New Roman" w:cs="Times New Roman"/>
                <w:color w:val="4F4F4F"/>
                <w:sz w:val="21"/>
                <w:szCs w:val="21"/>
                <w:shd w:val="clear" w:color="auto" w:fill="F5F5F5"/>
              </w:rPr>
            </w:pPr>
            <w:r w:rsidRPr="00E95566">
              <w:rPr>
                <w:rFonts w:ascii="Times New Roman" w:hAnsi="Times New Roman" w:cs="Times New Roman"/>
                <w:color w:val="4F4F4F"/>
                <w:sz w:val="21"/>
                <w:szCs w:val="21"/>
                <w:shd w:val="clear" w:color="auto" w:fill="F5F5F5"/>
              </w:rPr>
              <w:t>59 - cheltuieli pentru comisioane, cote, taxe</w:t>
            </w:r>
          </w:p>
        </w:tc>
        <w:tc>
          <w:tcPr>
            <w:tcW w:w="2775" w:type="pct"/>
          </w:tcPr>
          <w:p w14:paraId="71CB18A0" w14:textId="77777777" w:rsidR="005443F3" w:rsidRPr="00E95566" w:rsidRDefault="005443F3" w:rsidP="002E0454">
            <w:pPr>
              <w:numPr>
                <w:ilvl w:val="0"/>
                <w:numId w:val="156"/>
              </w:numPr>
              <w:jc w:val="both"/>
              <w:rPr>
                <w:rFonts w:ascii="Times New Roman" w:hAnsi="Times New Roman" w:cs="Times New Roman"/>
                <w:b/>
                <w:bCs/>
                <w:sz w:val="21"/>
                <w:szCs w:val="21"/>
              </w:rPr>
            </w:pPr>
            <w:r w:rsidRPr="00E95566">
              <w:rPr>
                <w:rFonts w:ascii="Times New Roman" w:hAnsi="Times New Roman" w:cs="Times New Roman"/>
                <w:sz w:val="21"/>
                <w:szCs w:val="21"/>
              </w:rPr>
              <w:t>Cheltuielile bancare de deschidere şi de administrare a conturilor astfel cum prevede pct. 4 din Capitolul I din Anexa la Ordinul 816/2016 cu modificările și completările ulterioare</w:t>
            </w:r>
          </w:p>
          <w:p w14:paraId="177CB999" w14:textId="77777777" w:rsidR="005443F3" w:rsidRPr="00E95566" w:rsidRDefault="005443F3" w:rsidP="002E0454">
            <w:pPr>
              <w:numPr>
                <w:ilvl w:val="0"/>
                <w:numId w:val="156"/>
              </w:numPr>
              <w:jc w:val="both"/>
              <w:rPr>
                <w:rFonts w:ascii="Times New Roman" w:hAnsi="Times New Roman" w:cs="Times New Roman"/>
                <w:b/>
                <w:bCs/>
                <w:sz w:val="21"/>
                <w:szCs w:val="21"/>
              </w:rPr>
            </w:pPr>
            <w:r w:rsidRPr="00E95566">
              <w:rPr>
                <w:rFonts w:ascii="Times New Roman" w:hAnsi="Times New Roman" w:cs="Times New Roman"/>
                <w:bCs/>
                <w:sz w:val="21"/>
                <w:szCs w:val="21"/>
              </w:rPr>
              <w:t>Cheltuieli aferente garanțiilor emise de o instituție bancară sau nebancară, astfel cum sunt prevăzute la art. 11 din Hotărârea Guvernului nr. 347/2016</w:t>
            </w:r>
          </w:p>
        </w:tc>
      </w:tr>
      <w:tr w:rsidR="005443F3" w:rsidRPr="00E95566" w14:paraId="0065816F" w14:textId="77777777" w:rsidTr="000E197E">
        <w:tc>
          <w:tcPr>
            <w:tcW w:w="404" w:type="pct"/>
            <w:shd w:val="clear" w:color="auto" w:fill="E7E6E6" w:themeFill="background2"/>
          </w:tcPr>
          <w:p w14:paraId="4FBEB438"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6214BAE8" w14:textId="77777777" w:rsidR="005443F3" w:rsidRPr="00E95566" w:rsidRDefault="005443F3" w:rsidP="00F613CE">
            <w:pPr>
              <w:rPr>
                <w:rFonts w:ascii="Times New Roman" w:hAnsi="Times New Roman" w:cs="Times New Roman"/>
                <w:color w:val="4F4F4F"/>
                <w:sz w:val="21"/>
                <w:szCs w:val="21"/>
                <w:shd w:val="clear" w:color="auto" w:fill="F2F5F9"/>
              </w:rPr>
            </w:pPr>
            <w:r w:rsidRPr="00E95566">
              <w:rPr>
                <w:rFonts w:ascii="Times New Roman" w:eastAsia="Times New Roman" w:hAnsi="Times New Roman" w:cs="Times New Roman"/>
                <w:color w:val="333333"/>
                <w:sz w:val="21"/>
                <w:szCs w:val="21"/>
              </w:rPr>
              <w:t>22 - cheltuieli cu achiziția de active necorporale</w:t>
            </w:r>
          </w:p>
        </w:tc>
        <w:tc>
          <w:tcPr>
            <w:tcW w:w="956" w:type="pct"/>
            <w:vAlign w:val="center"/>
          </w:tcPr>
          <w:p w14:paraId="50534C11" w14:textId="77777777" w:rsidR="005443F3" w:rsidRPr="00E95566" w:rsidRDefault="005443F3" w:rsidP="00F613CE">
            <w:pPr>
              <w:jc w:val="both"/>
              <w:rPr>
                <w:rFonts w:ascii="Times New Roman" w:hAnsi="Times New Roman" w:cs="Times New Roman"/>
                <w:color w:val="4F4F4F"/>
                <w:sz w:val="21"/>
                <w:szCs w:val="21"/>
                <w:shd w:val="clear" w:color="auto" w:fill="F5F5F5"/>
              </w:rPr>
            </w:pPr>
            <w:r w:rsidRPr="00E95566">
              <w:rPr>
                <w:rFonts w:ascii="Times New Roman" w:hAnsi="Times New Roman" w:cs="Times New Roman"/>
                <w:color w:val="4F4F4F"/>
                <w:sz w:val="21"/>
                <w:szCs w:val="21"/>
                <w:shd w:val="clear" w:color="auto" w:fill="FFFFFF"/>
              </w:rPr>
              <w:t>76 - cheltuieli cu achiziția de active necorporale</w:t>
            </w:r>
          </w:p>
        </w:tc>
        <w:tc>
          <w:tcPr>
            <w:tcW w:w="2775" w:type="pct"/>
          </w:tcPr>
          <w:p w14:paraId="269A16B2" w14:textId="77777777" w:rsidR="005443F3" w:rsidRPr="00E95566" w:rsidRDefault="005443F3" w:rsidP="002E0454">
            <w:pPr>
              <w:numPr>
                <w:ilvl w:val="0"/>
                <w:numId w:val="156"/>
              </w:numPr>
              <w:jc w:val="both"/>
              <w:rPr>
                <w:rFonts w:ascii="Times New Roman" w:hAnsi="Times New Roman" w:cs="Times New Roman"/>
                <w:sz w:val="21"/>
                <w:szCs w:val="21"/>
              </w:rPr>
            </w:pPr>
            <w:r w:rsidRPr="00E95566">
              <w:rPr>
                <w:rFonts w:ascii="Times New Roman" w:eastAsia="Times New Roman" w:hAnsi="Times New Roman" w:cs="Times New Roman"/>
                <w:color w:val="333333"/>
                <w:sz w:val="21"/>
                <w:szCs w:val="21"/>
              </w:rPr>
              <w:t>Cheltuieli cu achiziționarea semnăturii digitale MYSMIS2014</w:t>
            </w:r>
          </w:p>
        </w:tc>
      </w:tr>
      <w:tr w:rsidR="005443F3" w:rsidRPr="00E95566" w14:paraId="12C6AFFE" w14:textId="77777777" w:rsidTr="000E197E">
        <w:trPr>
          <w:trHeight w:val="1117"/>
        </w:trPr>
        <w:tc>
          <w:tcPr>
            <w:tcW w:w="404" w:type="pct"/>
            <w:shd w:val="clear" w:color="auto" w:fill="E7E6E6" w:themeFill="background2"/>
          </w:tcPr>
          <w:p w14:paraId="51233FD6" w14:textId="77777777" w:rsidR="005443F3" w:rsidRPr="00E95566" w:rsidRDefault="005443F3" w:rsidP="00F613CE">
            <w:pPr>
              <w:jc w:val="both"/>
              <w:rPr>
                <w:rFonts w:ascii="Times New Roman" w:hAnsi="Times New Roman" w:cs="Times New Roman"/>
                <w:color w:val="222A35" w:themeColor="text2" w:themeShade="80"/>
                <w:sz w:val="21"/>
                <w:szCs w:val="21"/>
              </w:rPr>
            </w:pPr>
          </w:p>
        </w:tc>
        <w:tc>
          <w:tcPr>
            <w:tcW w:w="865" w:type="pct"/>
          </w:tcPr>
          <w:p w14:paraId="5054DDA5" w14:textId="77777777" w:rsidR="005443F3" w:rsidRPr="00E95566" w:rsidRDefault="005443F3" w:rsidP="00F613CE">
            <w:pPr>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1 - cheltuieli aferente contribuției în natură</w:t>
            </w:r>
          </w:p>
        </w:tc>
        <w:tc>
          <w:tcPr>
            <w:tcW w:w="956" w:type="pct"/>
            <w:vAlign w:val="center"/>
          </w:tcPr>
          <w:p w14:paraId="62C7D031" w14:textId="77777777" w:rsidR="005443F3" w:rsidRPr="00E95566" w:rsidRDefault="005443F3" w:rsidP="00F613CE">
            <w:pPr>
              <w:jc w:val="both"/>
              <w:rPr>
                <w:rFonts w:ascii="Times New Roman" w:hAnsi="Times New Roman" w:cs="Times New Roman"/>
                <w:color w:val="4F4F4F"/>
                <w:sz w:val="21"/>
                <w:szCs w:val="21"/>
                <w:shd w:val="clear" w:color="auto" w:fill="FFFFFF"/>
              </w:rPr>
            </w:pPr>
            <w:r w:rsidRPr="00E95566">
              <w:rPr>
                <w:rFonts w:ascii="Times New Roman" w:eastAsia="Times New Roman" w:hAnsi="Times New Roman" w:cs="Times New Roman"/>
                <w:color w:val="333333"/>
                <w:sz w:val="21"/>
                <w:szCs w:val="21"/>
              </w:rPr>
              <w:t>1 - cheltuieli aferente contribuției în natură</w:t>
            </w:r>
          </w:p>
        </w:tc>
        <w:tc>
          <w:tcPr>
            <w:tcW w:w="2775" w:type="pct"/>
          </w:tcPr>
          <w:p w14:paraId="268ACC0F" w14:textId="77777777" w:rsidR="005443F3" w:rsidRPr="00E95566" w:rsidRDefault="005443F3" w:rsidP="002E0454">
            <w:pPr>
              <w:numPr>
                <w:ilvl w:val="0"/>
                <w:numId w:val="156"/>
              </w:num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Contribuție în natură</w:t>
            </w:r>
          </w:p>
          <w:p w14:paraId="35C31046" w14:textId="77777777" w:rsidR="005443F3" w:rsidRPr="00E95566" w:rsidRDefault="005443F3" w:rsidP="00F613CE">
            <w:pPr>
              <w:jc w:val="both"/>
              <w:rPr>
                <w:rFonts w:ascii="Times New Roman" w:eastAsia="Times New Roman" w:hAnsi="Times New Roman" w:cs="Times New Roman"/>
                <w:bCs/>
                <w:color w:val="333333"/>
                <w:sz w:val="21"/>
                <w:szCs w:val="21"/>
              </w:rPr>
            </w:pPr>
            <w:r w:rsidRPr="00E95566">
              <w:rPr>
                <w:rFonts w:ascii="Times New Roman" w:eastAsia="Times New Roman" w:hAnsi="Times New Roman" w:cs="Times New Roman"/>
                <w:bCs/>
                <w:color w:val="333333"/>
                <w:sz w:val="21"/>
                <w:szCs w:val="21"/>
              </w:rPr>
              <w:t>Contribuția proprie aferentă terenului</w:t>
            </w:r>
          </w:p>
          <w:p w14:paraId="17542972" w14:textId="77777777" w:rsidR="005443F3" w:rsidRPr="00E95566" w:rsidRDefault="005443F3" w:rsidP="00F613CE">
            <w:pPr>
              <w:jc w:val="both"/>
              <w:rPr>
                <w:rFonts w:ascii="Times New Roman" w:eastAsia="Times New Roman" w:hAnsi="Times New Roman" w:cs="Times New Roman"/>
                <w:bCs/>
                <w:color w:val="333333"/>
                <w:sz w:val="21"/>
                <w:szCs w:val="21"/>
              </w:rPr>
            </w:pPr>
            <w:r w:rsidRPr="00E95566">
              <w:rPr>
                <w:rFonts w:ascii="Times New Roman" w:eastAsia="Times New Roman" w:hAnsi="Times New Roman" w:cs="Times New Roman"/>
                <w:bCs/>
                <w:color w:val="333333"/>
                <w:sz w:val="21"/>
                <w:szCs w:val="21"/>
              </w:rPr>
              <w:t>Contribuția proprie pentru investiția de bază</w:t>
            </w:r>
          </w:p>
        </w:tc>
      </w:tr>
      <w:tr w:rsidR="001866E3" w:rsidRPr="00E95566" w14:paraId="64BBF8E0" w14:textId="77777777" w:rsidTr="000E197E">
        <w:tc>
          <w:tcPr>
            <w:tcW w:w="404" w:type="pct"/>
            <w:shd w:val="clear" w:color="auto" w:fill="E7E6E6" w:themeFill="background2"/>
          </w:tcPr>
          <w:p w14:paraId="5DCDBDDE" w14:textId="77777777" w:rsidR="001866E3" w:rsidRPr="00E95566" w:rsidRDefault="001866E3" w:rsidP="001866E3">
            <w:pPr>
              <w:jc w:val="both"/>
              <w:rPr>
                <w:rFonts w:ascii="Times New Roman" w:hAnsi="Times New Roman" w:cs="Times New Roman"/>
                <w:color w:val="222A35" w:themeColor="text2" w:themeShade="80"/>
                <w:sz w:val="21"/>
                <w:szCs w:val="21"/>
              </w:rPr>
            </w:pPr>
          </w:p>
        </w:tc>
        <w:tc>
          <w:tcPr>
            <w:tcW w:w="865" w:type="pct"/>
            <w:vAlign w:val="center"/>
          </w:tcPr>
          <w:p w14:paraId="38F9D341" w14:textId="66456629" w:rsidR="001866E3" w:rsidRPr="00E95566" w:rsidRDefault="001866E3" w:rsidP="001866E3">
            <w:pPr>
              <w:rPr>
                <w:rFonts w:ascii="Times New Roman" w:eastAsia="Times New Roman" w:hAnsi="Times New Roman" w:cs="Times New Roman"/>
                <w:color w:val="333333"/>
                <w:sz w:val="21"/>
                <w:szCs w:val="21"/>
              </w:rPr>
            </w:pPr>
            <w:r w:rsidRPr="00E95566">
              <w:rPr>
                <w:rFonts w:ascii="Times New Roman" w:hAnsi="Times New Roman" w:cs="Times New Roman"/>
                <w:color w:val="4F4F4F"/>
                <w:sz w:val="21"/>
                <w:szCs w:val="21"/>
                <w:shd w:val="clear" w:color="auto" w:fill="F5F5F5"/>
              </w:rPr>
              <w:t>3 - cheltuieli cu achiziția imobilelor deja construite</w:t>
            </w:r>
            <w:r w:rsidRPr="00E95566">
              <w:rPr>
                <w:rFonts w:ascii="Times New Roman" w:hAnsi="Times New Roman" w:cs="Times New Roman"/>
                <w:noProof/>
                <w:sz w:val="21"/>
                <w:szCs w:val="21"/>
                <w:lang w:val="en-US"/>
              </w:rPr>
              <w:drawing>
                <wp:inline distT="0" distB="0" distL="0" distR="0" wp14:anchorId="0F6D1E32" wp14:editId="682C1BD5">
                  <wp:extent cx="10795" cy="10795"/>
                  <wp:effectExtent l="0" t="0" r="0" b="0"/>
                  <wp:docPr id="197" name="Picture 197" descr="https://aplicatii2014.smis.fonduri-ue.ro/backOffice/faces/javax.faces.resource/spacer/dot_clear.gif?ln=primefaces&amp;v=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6Form:datatable:2:j_idt399" descr="https://aplicatii2014.smis.fonduri-ue.ro/backOffice/faces/javax.faces.resource/spacer/dot_clear.gif?ln=primefaces&amp;v=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c>
        <w:tc>
          <w:tcPr>
            <w:tcW w:w="956" w:type="pct"/>
            <w:vAlign w:val="center"/>
          </w:tcPr>
          <w:p w14:paraId="632A23C7" w14:textId="7F34B901" w:rsidR="001866E3" w:rsidRPr="00E95566" w:rsidRDefault="001866E3" w:rsidP="001866E3">
            <w:pPr>
              <w:jc w:val="both"/>
              <w:rPr>
                <w:rFonts w:ascii="Times New Roman" w:eastAsia="Times New Roman" w:hAnsi="Times New Roman" w:cs="Times New Roman"/>
                <w:color w:val="333333"/>
                <w:sz w:val="21"/>
                <w:szCs w:val="21"/>
              </w:rPr>
            </w:pPr>
            <w:r w:rsidRPr="00E95566">
              <w:rPr>
                <w:rFonts w:ascii="Times New Roman" w:hAnsi="Times New Roman" w:cs="Times New Roman"/>
                <w:color w:val="4F4F4F"/>
                <w:sz w:val="21"/>
                <w:szCs w:val="21"/>
                <w:shd w:val="clear" w:color="auto" w:fill="F5F5F5"/>
              </w:rPr>
              <w:t>6 - cheltuieli cu achiziția imobilelor deja construite</w:t>
            </w:r>
          </w:p>
        </w:tc>
        <w:tc>
          <w:tcPr>
            <w:tcW w:w="2775" w:type="pct"/>
            <w:tcBorders>
              <w:bottom w:val="single" w:sz="4" w:space="0" w:color="auto"/>
            </w:tcBorders>
          </w:tcPr>
          <w:p w14:paraId="30F22497" w14:textId="77777777" w:rsidR="001866E3" w:rsidRPr="00E95566" w:rsidRDefault="001866E3" w:rsidP="001866E3">
            <w:pPr>
              <w:numPr>
                <w:ilvl w:val="0"/>
                <w:numId w:val="156"/>
              </w:num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Achiziția de construcții*</w:t>
            </w:r>
          </w:p>
          <w:p w14:paraId="62AB67DA" w14:textId="547278D1" w:rsidR="001866E3" w:rsidRPr="00E95566" w:rsidRDefault="001866E3" w:rsidP="001866E3">
            <w:pPr>
              <w:numPr>
                <w:ilvl w:val="0"/>
                <w:numId w:val="156"/>
              </w:numPr>
              <w:jc w:val="both"/>
              <w:rPr>
                <w:rFonts w:ascii="Times New Roman" w:eastAsia="Times New Roman" w:hAnsi="Times New Roman" w:cs="Times New Roman"/>
                <w:color w:val="333333"/>
                <w:sz w:val="21"/>
                <w:szCs w:val="21"/>
              </w:rPr>
            </w:pPr>
            <w:r w:rsidRPr="00E95566">
              <w:rPr>
                <w:rFonts w:ascii="Times New Roman" w:eastAsia="Times New Roman" w:hAnsi="Times New Roman" w:cs="Times New Roman"/>
                <w:color w:val="333333"/>
                <w:sz w:val="21"/>
                <w:szCs w:val="21"/>
              </w:rPr>
              <w:t xml:space="preserve"> </w:t>
            </w:r>
            <w:r w:rsidRPr="00E95566">
              <w:rPr>
                <w:rFonts w:ascii="Times New Roman" w:eastAsia="Times New Roman" w:hAnsi="Times New Roman" w:cs="Times New Roman"/>
                <w:color w:val="333333"/>
                <w:sz w:val="21"/>
                <w:szCs w:val="21"/>
              </w:rPr>
              <w:tab/>
              <w:t>Se includ cheltuielile efectuate pentru achiziția de construcții</w:t>
            </w:r>
          </w:p>
        </w:tc>
      </w:tr>
    </w:tbl>
    <w:p w14:paraId="0303FDD5" w14:textId="77777777" w:rsidR="005443F3" w:rsidRPr="00E95566" w:rsidRDefault="005443F3" w:rsidP="005443F3">
      <w:pPr>
        <w:spacing w:after="0" w:line="240" w:lineRule="auto"/>
        <w:jc w:val="both"/>
        <w:rPr>
          <w:rFonts w:ascii="Times New Roman" w:hAnsi="Times New Roman" w:cs="Times New Roman"/>
          <w:color w:val="222A35" w:themeColor="text2" w:themeShade="80"/>
        </w:rPr>
      </w:pPr>
      <w:r w:rsidRPr="00E95566">
        <w:rPr>
          <w:rFonts w:ascii="Times New Roman" w:hAnsi="Times New Roman" w:cs="Times New Roman"/>
          <w:color w:val="222A35" w:themeColor="text2" w:themeShade="80"/>
        </w:rPr>
        <w:t>La nivel de proiect pot fi decontate cheltuieli plafonate procentual, după cum urmează:</w:t>
      </w:r>
    </w:p>
    <w:p w14:paraId="4B2D86CE" w14:textId="349181E5" w:rsidR="005443F3" w:rsidRPr="00E95566" w:rsidRDefault="005443F3" w:rsidP="005443F3">
      <w:pPr>
        <w:spacing w:after="0" w:line="240" w:lineRule="auto"/>
        <w:jc w:val="both"/>
        <w:rPr>
          <w:rFonts w:ascii="Times New Roman" w:hAnsi="Times New Roman" w:cs="Times New Roman"/>
          <w:b/>
          <w:bCs/>
          <w:color w:val="222A35" w:themeColor="text2" w:themeShade="80"/>
        </w:rPr>
      </w:pPr>
      <w:r w:rsidRPr="00E95566">
        <w:rPr>
          <w:rFonts w:ascii="Times New Roman" w:hAnsi="Times New Roman" w:cs="Times New Roman"/>
          <w:b/>
          <w:color w:val="222A35" w:themeColor="text2" w:themeShade="80"/>
        </w:rPr>
        <w:t>1. Cheltuielile pentru proiectare și asistență tehnică, inclusiv cheltuielile cu consultanță pentru elaborarea cererii de finanțare</w:t>
      </w:r>
    </w:p>
    <w:p w14:paraId="2C99700B" w14:textId="77777777" w:rsidR="005443F3" w:rsidRPr="00E95566" w:rsidRDefault="005443F3" w:rsidP="002E0454">
      <w:pPr>
        <w:pStyle w:val="ListParagraph"/>
        <w:numPr>
          <w:ilvl w:val="1"/>
          <w:numId w:val="158"/>
        </w:numPr>
        <w:contextualSpacing w:val="0"/>
        <w:jc w:val="both"/>
        <w:rPr>
          <w:rFonts w:ascii="Times New Roman" w:hAnsi="Times New Roman"/>
          <w:b/>
          <w:bCs/>
          <w:color w:val="222A35" w:themeColor="text2" w:themeShade="80"/>
        </w:rPr>
      </w:pPr>
      <w:r w:rsidRPr="00E95566">
        <w:rPr>
          <w:rFonts w:ascii="Times New Roman" w:hAnsi="Times New Roman"/>
          <w:color w:val="222A35" w:themeColor="text2" w:themeShade="80"/>
        </w:rPr>
        <w:t>maximum 5% din cheltuielile totale eligibile pentru proiectele fără construcții montaj(dotări).</w:t>
      </w:r>
    </w:p>
    <w:p w14:paraId="156C335C" w14:textId="77777777" w:rsidR="005443F3" w:rsidRPr="00E95566" w:rsidRDefault="005443F3" w:rsidP="002E0454">
      <w:pPr>
        <w:pStyle w:val="ListParagraph"/>
        <w:numPr>
          <w:ilvl w:val="1"/>
          <w:numId w:val="158"/>
        </w:numPr>
        <w:contextualSpacing w:val="0"/>
        <w:jc w:val="both"/>
        <w:rPr>
          <w:rFonts w:ascii="Times New Roman" w:hAnsi="Times New Roman"/>
          <w:b/>
          <w:bCs/>
          <w:color w:val="222A35" w:themeColor="text2" w:themeShade="80"/>
        </w:rPr>
      </w:pPr>
      <w:r w:rsidRPr="00E95566">
        <w:rPr>
          <w:rFonts w:ascii="Times New Roman" w:hAnsi="Times New Roman"/>
          <w:color w:val="222A35" w:themeColor="text2" w:themeShade="80"/>
        </w:rPr>
        <w:t>maximum 10% din cheltuielile totale eligibile pentru proiectele cu construcții montaj.</w:t>
      </w:r>
    </w:p>
    <w:p w14:paraId="72FB1055" w14:textId="77777777" w:rsidR="005443F3" w:rsidRPr="00E95566" w:rsidRDefault="005443F3" w:rsidP="005443F3">
      <w:pPr>
        <w:spacing w:after="0" w:line="240" w:lineRule="auto"/>
        <w:jc w:val="both"/>
        <w:rPr>
          <w:rFonts w:ascii="Times New Roman" w:eastAsia="Times New Roman" w:hAnsi="Times New Roman" w:cs="Times New Roman"/>
          <w:b/>
          <w:bCs/>
          <w:color w:val="333333"/>
        </w:rPr>
      </w:pPr>
      <w:r w:rsidRPr="00E95566">
        <w:rPr>
          <w:rFonts w:ascii="Times New Roman" w:hAnsi="Times New Roman" w:cs="Times New Roman"/>
          <w:b/>
          <w:bCs/>
          <w:lang w:eastAsia="ro-RO"/>
        </w:rPr>
        <w:t xml:space="preserve">2. Cheltuieli cu echipa de implementare - </w:t>
      </w:r>
      <w:r w:rsidRPr="00E95566">
        <w:rPr>
          <w:rFonts w:ascii="Times New Roman" w:hAnsi="Times New Roman" w:cs="Times New Roman"/>
        </w:rPr>
        <w:t>Cheltuielile privind plata drepturilor salariale, inclusiv contribuţiile suportate de către angajator şi angajat pentru personalul din cadrul echipei de implementare a operaţiunii, respectiv un manager de proiect, un contabil şi un expert de specialitate, efectuate de beneficiar în cadrul şi exclusiv pe durata implementării operaţiunii, constituie cheltuieli eligibile dacă acestea sunt în mod real şi definitiv suportate de către beneficiar, în limita: a) maximum 2% din valoarea totală eligibilă a operaţiunii, pentru operaţiunea care prevede construcţii-montaj; b) maximum 1% din valoarea totală eligibilă a operaţiunii, pentru operaţiunea care nu prevede construcţii-montaj. Cheltuielile se decontează conform contractului de muncă sau proporţional cu procentul prevăzut în fişa postului.</w:t>
      </w:r>
    </w:p>
    <w:p w14:paraId="24AE8AC3" w14:textId="77777777" w:rsidR="005443F3" w:rsidRPr="00E95566" w:rsidRDefault="005443F3" w:rsidP="005443F3">
      <w:pPr>
        <w:spacing w:after="0" w:line="240" w:lineRule="auto"/>
        <w:jc w:val="both"/>
        <w:rPr>
          <w:rFonts w:ascii="Times New Roman" w:hAnsi="Times New Roman" w:cs="Times New Roman"/>
        </w:rPr>
      </w:pPr>
      <w:r w:rsidRPr="00E95566">
        <w:rPr>
          <w:rFonts w:ascii="Times New Roman" w:hAnsi="Times New Roman" w:cs="Times New Roman"/>
          <w:b/>
        </w:rPr>
        <w:t>3. Cheltuieli pentru investiții în producerea şi utilizarea energiei din surse regenerabile (solară, eoliană, biomasă, cea produsă cu ajutorul pompelor de căldură, geotermală) în cadrul fermei</w:t>
      </w:r>
      <w:r w:rsidRPr="00E95566">
        <w:rPr>
          <w:rFonts w:ascii="Times New Roman" w:hAnsi="Times New Roman" w:cs="Times New Roman"/>
        </w:rPr>
        <w:t>, ca o componentă secundară în cadrul unui proiect de investiţii, iar energia obținută va fi destinată exclusiv consumului propriu, nu mai mult de 10% din totalul costurilor eligibile ale proiectului;</w:t>
      </w:r>
    </w:p>
    <w:p w14:paraId="522E00C0" w14:textId="77777777" w:rsidR="005443F3" w:rsidRPr="00E95566" w:rsidRDefault="005443F3" w:rsidP="005443F3">
      <w:pPr>
        <w:spacing w:after="0" w:line="240" w:lineRule="auto"/>
        <w:ind w:left="720"/>
        <w:jc w:val="both"/>
        <w:rPr>
          <w:rFonts w:ascii="Times New Roman" w:eastAsia="Times New Roman" w:hAnsi="Times New Roman" w:cs="Times New Roman"/>
          <w:b/>
          <w:bCs/>
          <w:color w:val="333333"/>
        </w:rPr>
      </w:pPr>
    </w:p>
    <w:p w14:paraId="49DFAEB9" w14:textId="244EAA40" w:rsidR="005443F3" w:rsidRPr="00E95566" w:rsidRDefault="005443F3" w:rsidP="005443F3">
      <w:pPr>
        <w:spacing w:after="0" w:line="240" w:lineRule="auto"/>
        <w:jc w:val="both"/>
        <w:rPr>
          <w:rFonts w:ascii="Times New Roman" w:hAnsi="Times New Roman" w:cs="Times New Roman"/>
          <w:b/>
          <w:bCs/>
          <w:color w:val="222A35" w:themeColor="text2" w:themeShade="80"/>
        </w:rPr>
      </w:pPr>
      <w:r w:rsidRPr="00E95566">
        <w:rPr>
          <w:rFonts w:ascii="Times New Roman" w:hAnsi="Times New Roman" w:cs="Times New Roman"/>
          <w:b/>
          <w:bCs/>
          <w:color w:val="222A35" w:themeColor="text2" w:themeShade="80"/>
        </w:rPr>
        <w:t>În vederea verificării procentelor de la punctele 2 și 3 se va preciza în câmpul Descrierea cheltuielii pentru fiecare cheltuială care se încadrează în una din cele 2 categorii.</w:t>
      </w:r>
    </w:p>
    <w:sectPr w:rsidR="005443F3" w:rsidRPr="00E95566" w:rsidSect="000D2C44">
      <w:headerReference w:type="even" r:id="rId12"/>
      <w:headerReference w:type="default" r:id="rId13"/>
      <w:footerReference w:type="default" r:id="rId14"/>
      <w:headerReference w:type="first" r:id="rId15"/>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3A3FA" w14:textId="77777777" w:rsidR="00F53994" w:rsidRDefault="00F53994" w:rsidP="00B02FF1">
      <w:pPr>
        <w:spacing w:after="0" w:line="240" w:lineRule="auto"/>
      </w:pPr>
      <w:r>
        <w:separator/>
      </w:r>
    </w:p>
  </w:endnote>
  <w:endnote w:type="continuationSeparator" w:id="0">
    <w:p w14:paraId="210B82F3" w14:textId="77777777" w:rsidR="00F53994" w:rsidRDefault="00F53994"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38A47" w14:textId="77777777" w:rsidR="00F53994" w:rsidRDefault="00F53994" w:rsidP="00B02FF1">
      <w:pPr>
        <w:spacing w:after="0" w:line="240" w:lineRule="auto"/>
      </w:pPr>
      <w:r>
        <w:separator/>
      </w:r>
    </w:p>
  </w:footnote>
  <w:footnote w:type="continuationSeparator" w:id="0">
    <w:p w14:paraId="2BE1DC72" w14:textId="77777777" w:rsidR="00F53994" w:rsidRDefault="00F53994"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33"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37B0D"/>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06B9"/>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15150"/>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0C46"/>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83A1F"/>
    <w:rsid w:val="00484B19"/>
    <w:rsid w:val="00487BC7"/>
    <w:rsid w:val="00487C9F"/>
    <w:rsid w:val="00492F40"/>
    <w:rsid w:val="00497DE3"/>
    <w:rsid w:val="004B419C"/>
    <w:rsid w:val="004B476C"/>
    <w:rsid w:val="004C5927"/>
    <w:rsid w:val="004D1B08"/>
    <w:rsid w:val="004D589A"/>
    <w:rsid w:val="004E57F5"/>
    <w:rsid w:val="004F6969"/>
    <w:rsid w:val="0050409E"/>
    <w:rsid w:val="00512BF2"/>
    <w:rsid w:val="0051350F"/>
    <w:rsid w:val="00530232"/>
    <w:rsid w:val="00530BC1"/>
    <w:rsid w:val="00531509"/>
    <w:rsid w:val="00534F6F"/>
    <w:rsid w:val="005368DC"/>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1DAE"/>
    <w:rsid w:val="006647B9"/>
    <w:rsid w:val="00666CA8"/>
    <w:rsid w:val="00672D7A"/>
    <w:rsid w:val="006776FE"/>
    <w:rsid w:val="00680792"/>
    <w:rsid w:val="00681100"/>
    <w:rsid w:val="00683853"/>
    <w:rsid w:val="006A404B"/>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B7A7F"/>
    <w:rsid w:val="008C22B9"/>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543"/>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95566"/>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52F9"/>
    <w:rsid w:val="00F15373"/>
    <w:rsid w:val="00F207AF"/>
    <w:rsid w:val="00F23DBE"/>
    <w:rsid w:val="00F3191D"/>
    <w:rsid w:val="00F31AF2"/>
    <w:rsid w:val="00F3230E"/>
    <w:rsid w:val="00F348BC"/>
    <w:rsid w:val="00F3564D"/>
    <w:rsid w:val="00F37D57"/>
    <w:rsid w:val="00F41BC9"/>
    <w:rsid w:val="00F43CAB"/>
    <w:rsid w:val="00F44C50"/>
    <w:rsid w:val="00F50F6C"/>
    <w:rsid w:val="00F5156A"/>
    <w:rsid w:val="00F53994"/>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B09"/>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ezdsnzrgy4a/legea-nr-10-1995-privind-calitatea-in-constructii?pid=&amp;d=2017-01-3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e5.ro/Gratuit/geytamrs/legea-nr-215-1997-privind-casa-sociala-a-constructorilor?pid=&amp;d=2017-01-31" TargetMode="External"/><Relationship Id="rId4" Type="http://schemas.openxmlformats.org/officeDocument/2006/relationships/settings" Target="settings.xml"/><Relationship Id="rId9" Type="http://schemas.openxmlformats.org/officeDocument/2006/relationships/hyperlink" Target="http://lege5.ro/Gratuit/gy3dgmju/legea-nr-50-1991-privind-autorizarea-executarii-lucrarilor-de-constructii?pid=&amp;d=2017-01-3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D62C5-7417-4E9A-A771-7D0053DE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2698</Words>
  <Characters>15384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3</cp:revision>
  <cp:lastPrinted>2019-09-17T12:17:00Z</cp:lastPrinted>
  <dcterms:created xsi:type="dcterms:W3CDTF">2019-10-17T07:21:00Z</dcterms:created>
  <dcterms:modified xsi:type="dcterms:W3CDTF">2021-03-16T07:51:00Z</dcterms:modified>
</cp:coreProperties>
</file>